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7F10" w14:paraId="4A447D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2E75B6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4D6EECE8" w14:textId="77777777" w:rsidR="006E7F10" w:rsidRDefault="007E1CE6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DWFA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Drinking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Water For All</w:t>
            </w:r>
          </w:p>
          <w:p w14:paraId="338371B9" w14:textId="77777777" w:rsidR="006E7F10" w:rsidRDefault="007E1CE6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Blueprint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du tableau de bord — Étude d’accès à l’eau potable</w:t>
            </w:r>
          </w:p>
          <w:p w14:paraId="54AEA032" w14:textId="77777777" w:rsidR="006E7F10" w:rsidRDefault="007E1CE6"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Maquette basse fidélité · Projet Data </w:t>
            </w:r>
            <w:proofErr w:type="spellStart"/>
            <w:r>
              <w:rPr>
                <w:color w:val="FFFFFF"/>
                <w:sz w:val="18"/>
                <w:szCs w:val="18"/>
              </w:rPr>
              <w:t>Analyst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FFFFFF"/>
                <w:sz w:val="18"/>
                <w:szCs w:val="18"/>
              </w:rPr>
              <w:t>OpenClassrooms</w:t>
            </w:r>
            <w:proofErr w:type="spellEnd"/>
          </w:p>
        </w:tc>
      </w:tr>
    </w:tbl>
    <w:p w14:paraId="4099E614" w14:textId="77777777" w:rsidR="006E7F10" w:rsidRDefault="007E1CE6">
      <w:pPr>
        <w:pStyle w:val="Titre1"/>
        <w:spacing w:before="240" w:after="120"/>
      </w:pPr>
      <w:proofErr w:type="spellStart"/>
      <w:r>
        <w:rPr>
          <w:b/>
          <w:bCs/>
          <w:color w:val="1F4E79"/>
          <w:sz w:val="30"/>
          <w:szCs w:val="30"/>
        </w:rPr>
        <w:t>Blueprint</w:t>
      </w:r>
      <w:proofErr w:type="spellEnd"/>
    </w:p>
    <w:p w14:paraId="6B1C5C3D" w14:textId="77777777" w:rsidR="006E7F10" w:rsidRDefault="007E1CE6">
      <w:pPr>
        <w:spacing w:after="100"/>
      </w:pPr>
      <w:r>
        <w:t>Le tableau ci-dessous reprend les détails essentiels nécessaires pour le tableau de bord.</w:t>
      </w:r>
    </w:p>
    <w:p w14:paraId="3A0B7B3C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rPr>
          <w:b/>
          <w:bCs/>
        </w:rPr>
        <w:t xml:space="preserve">Besoin utilisateurs : </w:t>
      </w:r>
      <w:r>
        <w:t>Décrit brièvement les interactions des utilisateurs avec les données pour cette exigence (par exemple, les filtres nécessaires, si une visualisa</w:t>
      </w:r>
      <w:r>
        <w:t>tion est fixe ou interactive…).</w:t>
      </w:r>
    </w:p>
    <w:p w14:paraId="65837600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rPr>
          <w:b/>
          <w:bCs/>
        </w:rPr>
        <w:t xml:space="preserve">Mesures spécifiques à utiliser : </w:t>
      </w:r>
      <w:r>
        <w:t>Il s’agit de la liste des paramètres et de tous les paramètres calculés qui seront utilisés pour cette exigence (par exemple, le coût réel).</w:t>
      </w:r>
    </w:p>
    <w:p w14:paraId="7F52C998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rPr>
          <w:b/>
          <w:bCs/>
        </w:rPr>
        <w:t xml:space="preserve">Visualisations : </w:t>
      </w:r>
      <w:r>
        <w:t>Le type de visualisation qui pour</w:t>
      </w:r>
      <w:r>
        <w:t>rait être utilisé pour cette exigence (par exemple, un diagramme à barres).</w:t>
      </w:r>
    </w:p>
    <w:p w14:paraId="260CC621" w14:textId="77777777" w:rsidR="006E7F10" w:rsidRDefault="006E7F1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2"/>
        <w:gridCol w:w="2744"/>
        <w:gridCol w:w="1470"/>
        <w:gridCol w:w="1580"/>
      </w:tblGrid>
      <w:tr w:rsidR="006E7F10" w14:paraId="1FCF6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75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9A7D8" w14:textId="77777777" w:rsidR="006E7F10" w:rsidRDefault="007E1C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Besoin utilisateurs</w:t>
            </w:r>
          </w:p>
        </w:tc>
        <w:tc>
          <w:tcPr>
            <w:tcW w:w="2900" w:type="dxa"/>
            <w:shd w:val="clear" w:color="auto" w:fill="2E75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8EABA" w14:textId="77777777" w:rsidR="006E7F10" w:rsidRDefault="007E1C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Mesures spécifiques à utiliser</w:t>
            </w:r>
          </w:p>
        </w:tc>
        <w:tc>
          <w:tcPr>
            <w:tcW w:w="1500" w:type="dxa"/>
            <w:shd w:val="clear" w:color="auto" w:fill="2E75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1B291" w14:textId="77777777" w:rsidR="006E7F10" w:rsidRDefault="007E1C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Visualisation</w:t>
            </w:r>
          </w:p>
        </w:tc>
        <w:tc>
          <w:tcPr>
            <w:tcW w:w="1226" w:type="dxa"/>
            <w:shd w:val="clear" w:color="auto" w:fill="2E75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C4C14" w14:textId="77777777" w:rsidR="006E7F10" w:rsidRDefault="007E1C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Page/Onglet/Vue*</w:t>
            </w:r>
          </w:p>
        </w:tc>
      </w:tr>
      <w:tr w:rsidR="006E7F10" w14:paraId="6756A8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DF4B9" w14:textId="77777777" w:rsidR="006E7F10" w:rsidRDefault="007E1CE6">
            <w:r>
              <w:rPr>
                <w:color w:val="000000"/>
                <w:sz w:val="18"/>
                <w:szCs w:val="18"/>
              </w:rPr>
              <w:t>Voir la situation mondiale de l’accès à l’eau potable, pays par pays (carte interactive)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248E1" w14:textId="77777777" w:rsidR="006E7F10" w:rsidRDefault="007E1CE6">
            <w:r>
              <w:rPr>
                <w:color w:val="000000"/>
                <w:sz w:val="18"/>
                <w:szCs w:val="18"/>
              </w:rPr>
              <w:t>Taux d’accès à l’eau basique — moyenne par pays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2BA54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Carte choroplèthe</w:t>
            </w:r>
          </w:p>
        </w:tc>
        <w:tc>
          <w:tcPr>
            <w:tcW w:w="1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2F325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mondiale</w:t>
            </w:r>
          </w:p>
        </w:tc>
      </w:tr>
      <w:tr w:rsidR="006E7F10" w14:paraId="21F02B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D9D86" w14:textId="77777777" w:rsidR="006E7F10" w:rsidRDefault="007E1CE6">
            <w:r>
              <w:rPr>
                <w:color w:val="000000"/>
                <w:sz w:val="18"/>
                <w:szCs w:val="18"/>
              </w:rPr>
              <w:t>Voir l’évolution mondiale de l’accès à l’eau dans le temps (2000–2017)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0C637" w14:textId="77777777" w:rsidR="006E7F10" w:rsidRDefault="007E1CE6">
            <w:r>
              <w:rPr>
                <w:color w:val="000000"/>
                <w:sz w:val="18"/>
                <w:szCs w:val="18"/>
              </w:rPr>
              <w:t xml:space="preserve">Taux d’accès basique et taux « </w:t>
            </w:r>
            <w:proofErr w:type="spellStart"/>
            <w:r>
              <w:rPr>
                <w:color w:val="000000"/>
                <w:sz w:val="18"/>
                <w:szCs w:val="18"/>
              </w:rPr>
              <w:t>safely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managed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» — moyenne par année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11016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 plot</w:t>
            </w:r>
          </w:p>
        </w:tc>
        <w:tc>
          <w:tcPr>
            <w:tcW w:w="122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30053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mondiale</w:t>
            </w:r>
          </w:p>
        </w:tc>
      </w:tr>
      <w:tr w:rsidR="006E7F10" w14:paraId="1F9C2F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2BACF" w14:textId="77777777" w:rsidR="006E7F10" w:rsidRDefault="007E1CE6">
            <w:r>
              <w:rPr>
                <w:color w:val="000000"/>
                <w:sz w:val="18"/>
                <w:szCs w:val="18"/>
              </w:rPr>
              <w:t>Comparer le niveau d’accès à l’eau entre les 6 continents (OMS)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54D26" w14:textId="77777777" w:rsidR="006E7F10" w:rsidRDefault="007E1CE6">
            <w:r>
              <w:rPr>
                <w:color w:val="000000"/>
                <w:sz w:val="18"/>
                <w:szCs w:val="18"/>
              </w:rPr>
              <w:t>Taux d’accès basique — agrégation par continent (moyenne)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D7C40" w14:textId="77777777" w:rsidR="006E7F10" w:rsidRDefault="007E1CE6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Grouped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bar chart</w:t>
            </w:r>
          </w:p>
        </w:tc>
        <w:tc>
          <w:tcPr>
            <w:tcW w:w="1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48E19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mondiale</w:t>
            </w:r>
          </w:p>
        </w:tc>
      </w:tr>
      <w:tr w:rsidR="006E7F10" w14:paraId="089BD85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363DB" w14:textId="77777777" w:rsidR="006E7F10" w:rsidRDefault="007E1CE6">
            <w:r>
              <w:rPr>
                <w:color w:val="000000"/>
                <w:sz w:val="18"/>
                <w:szCs w:val="18"/>
              </w:rPr>
              <w:t>Indicateur : Domaine 3 — repérer les pays les plus touchés par la mortalité liée à l’eau insalubre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A96DC" w14:textId="77777777" w:rsidR="006E7F10" w:rsidRDefault="007E1CE6">
            <w:r>
              <w:rPr>
                <w:color w:val="000000"/>
                <w:sz w:val="18"/>
                <w:szCs w:val="18"/>
              </w:rPr>
              <w:t>Décès liés à l’eau insalubre (2016), ventilés Homme / Femme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A48A4" w14:textId="77777777" w:rsidR="006E7F10" w:rsidRDefault="007E1CE6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Stacked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bar</w:t>
            </w:r>
          </w:p>
        </w:tc>
        <w:tc>
          <w:tcPr>
            <w:tcW w:w="122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1A9CD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mondiale</w:t>
            </w:r>
          </w:p>
        </w:tc>
      </w:tr>
      <w:tr w:rsidR="006E7F10" w14:paraId="7AC7999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85F25" w14:textId="77777777" w:rsidR="006E7F10" w:rsidRDefault="007E1CE6">
            <w:r>
              <w:rPr>
                <w:color w:val="000000"/>
                <w:sz w:val="18"/>
                <w:szCs w:val="18"/>
              </w:rPr>
              <w:t>Indicateur : Domaine 1 (création de services) — arbitrer selon la répartition urbaine / rurale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6F5D7" w14:textId="77777777" w:rsidR="006E7F10" w:rsidRDefault="007E1CE6">
            <w:r>
              <w:rPr>
                <w:color w:val="000000"/>
                <w:sz w:val="18"/>
                <w:szCs w:val="18"/>
              </w:rPr>
              <w:t>Taux d’accès à l’eau potable et taux de population urbaine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22C6C" w14:textId="77777777" w:rsidR="006E7F10" w:rsidRDefault="007E1CE6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Scatter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plot</w:t>
            </w:r>
          </w:p>
        </w:tc>
        <w:tc>
          <w:tcPr>
            <w:tcW w:w="1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EF3B1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continentale / choix du continent</w:t>
            </w:r>
          </w:p>
        </w:tc>
      </w:tr>
      <w:tr w:rsidR="006E7F10" w14:paraId="386723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B9928" w14:textId="77777777" w:rsidR="006E7F10" w:rsidRDefault="007E1CE6">
            <w:r>
              <w:rPr>
                <w:color w:val="000000"/>
                <w:sz w:val="18"/>
                <w:szCs w:val="18"/>
              </w:rPr>
              <w:t>Indicateur : Domaine 2 (modernisation) — cibler les pays au service basique mais peu sécurisé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F7E02" w14:textId="77777777" w:rsidR="006E7F10" w:rsidRDefault="007E1CE6">
            <w:r>
              <w:rPr>
                <w:color w:val="000000"/>
                <w:sz w:val="18"/>
                <w:szCs w:val="18"/>
              </w:rPr>
              <w:t xml:space="preserve">Taux « basique » et taux « </w:t>
            </w:r>
            <w:proofErr w:type="spellStart"/>
            <w:r>
              <w:rPr>
                <w:color w:val="000000"/>
                <w:sz w:val="18"/>
                <w:szCs w:val="18"/>
              </w:rPr>
              <w:t>safely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managed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» — moyenne par pays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1CA79" w14:textId="77777777" w:rsidR="006E7F10" w:rsidRDefault="007E1CE6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Scatter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plot</w:t>
            </w:r>
          </w:p>
        </w:tc>
        <w:tc>
          <w:tcPr>
            <w:tcW w:w="122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16331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continentale</w:t>
            </w:r>
          </w:p>
        </w:tc>
      </w:tr>
      <w:tr w:rsidR="006E7F10" w14:paraId="169CFC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8962C" w14:textId="77777777" w:rsidR="006E7F10" w:rsidRDefault="007E1CE6">
            <w:r>
              <w:rPr>
                <w:color w:val="000000"/>
                <w:sz w:val="18"/>
                <w:szCs w:val="18"/>
              </w:rPr>
              <w:t>Indicateur : Domaine 3 (consulting) — croiser l’efficacité de la politique et la stabilité politique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5FF30" w14:textId="77777777" w:rsidR="006E7F10" w:rsidRDefault="007E1CE6">
            <w:r>
              <w:rPr>
                <w:color w:val="000000"/>
                <w:sz w:val="18"/>
                <w:szCs w:val="18"/>
              </w:rPr>
              <w:t>Taux de mortalité lié à l’eau (2016) et stabilité politique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B88D0" w14:textId="77777777" w:rsidR="006E7F10" w:rsidRDefault="007E1CE6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Scatter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plot</w:t>
            </w:r>
          </w:p>
        </w:tc>
        <w:tc>
          <w:tcPr>
            <w:tcW w:w="1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C6C21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continentale</w:t>
            </w:r>
          </w:p>
        </w:tc>
      </w:tr>
      <w:tr w:rsidR="006E7F10" w14:paraId="370FA4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7759B" w14:textId="77777777" w:rsidR="006E7F10" w:rsidRDefault="007E1CE6">
            <w:r>
              <w:rPr>
                <w:color w:val="000000"/>
                <w:sz w:val="18"/>
                <w:szCs w:val="18"/>
              </w:rPr>
              <w:t>Comparer les trajectoires d’accès des pays d’un même continent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7832B" w14:textId="77777777" w:rsidR="006E7F10" w:rsidRDefault="007E1CE6">
            <w:r>
              <w:rPr>
                <w:color w:val="000000"/>
                <w:sz w:val="18"/>
                <w:szCs w:val="18"/>
              </w:rPr>
              <w:t>Taux d’accès basique — moyenne par pays et par année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FC383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 plot (multi-séries)</w:t>
            </w:r>
          </w:p>
        </w:tc>
        <w:tc>
          <w:tcPr>
            <w:tcW w:w="122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C6FF4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continentale</w:t>
            </w:r>
          </w:p>
        </w:tc>
      </w:tr>
      <w:tr w:rsidR="006E7F10" w14:paraId="2B0305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D7429" w14:textId="77777777" w:rsidR="006E7F10" w:rsidRDefault="007E1CE6">
            <w:r>
              <w:rPr>
                <w:color w:val="000000"/>
                <w:sz w:val="18"/>
                <w:szCs w:val="18"/>
              </w:rPr>
              <w:t>Lire d’un coup d’œil les indicateurs clés d’un pays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E37A3" w14:textId="77777777" w:rsidR="006E7F10" w:rsidRDefault="007E1CE6">
            <w:r>
              <w:rPr>
                <w:color w:val="000000"/>
                <w:sz w:val="18"/>
                <w:szCs w:val="18"/>
              </w:rPr>
              <w:t xml:space="preserve">Taux basique, taux </w:t>
            </w:r>
            <w:proofErr w:type="spellStart"/>
            <w:r>
              <w:rPr>
                <w:color w:val="000000"/>
                <w:sz w:val="18"/>
                <w:szCs w:val="18"/>
              </w:rPr>
              <w:t>safely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managed</w:t>
            </w:r>
            <w:proofErr w:type="spellEnd"/>
            <w:r>
              <w:rPr>
                <w:color w:val="000000"/>
                <w:sz w:val="18"/>
                <w:szCs w:val="18"/>
              </w:rPr>
              <w:t>, mortalité 2016, stabilité politique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95409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Cartes indicateurs (KPI)</w:t>
            </w:r>
          </w:p>
        </w:tc>
        <w:tc>
          <w:tcPr>
            <w:tcW w:w="1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9C5B8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nationale / choix du pays</w:t>
            </w:r>
          </w:p>
        </w:tc>
      </w:tr>
      <w:tr w:rsidR="006E7F10" w14:paraId="37B708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BA68A" w14:textId="77777777" w:rsidR="006E7F10" w:rsidRDefault="007E1CE6">
            <w:r>
              <w:rPr>
                <w:color w:val="000000"/>
                <w:sz w:val="18"/>
                <w:szCs w:val="18"/>
              </w:rPr>
              <w:t>Voir l’évolution de l’accès à l’eau par milieu (Total / Urbain / Rural)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0C6B0" w14:textId="77777777" w:rsidR="006E7F10" w:rsidRDefault="007E1CE6">
            <w:r>
              <w:rPr>
                <w:color w:val="000000"/>
                <w:sz w:val="18"/>
                <w:szCs w:val="18"/>
              </w:rPr>
              <w:t>Taux d’accès basique par année et par granularité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31D83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 plot (3 courbes)</w:t>
            </w:r>
          </w:p>
        </w:tc>
        <w:tc>
          <w:tcPr>
            <w:tcW w:w="122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000AF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nationale</w:t>
            </w:r>
          </w:p>
        </w:tc>
      </w:tr>
      <w:tr w:rsidR="006E7F10" w14:paraId="4BD54F4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E8EB6" w14:textId="77777777" w:rsidR="006E7F10" w:rsidRDefault="007E1CE6">
            <w:r>
              <w:rPr>
                <w:color w:val="000000"/>
                <w:sz w:val="18"/>
                <w:szCs w:val="18"/>
              </w:rPr>
              <w:t>Voir l’évolution de la population rurale par pays vs la population totale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5979C" w14:textId="77777777" w:rsidR="006E7F10" w:rsidRDefault="007E1CE6">
            <w:r>
              <w:rPr>
                <w:color w:val="000000"/>
                <w:sz w:val="18"/>
                <w:szCs w:val="18"/>
              </w:rPr>
              <w:t>Population rurale et population totale ; champ calculé Population réelle (×1000)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61E0D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 plot</w:t>
            </w:r>
          </w:p>
        </w:tc>
        <w:tc>
          <w:tcPr>
            <w:tcW w:w="1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BC584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nationale</w:t>
            </w:r>
          </w:p>
        </w:tc>
      </w:tr>
      <w:tr w:rsidR="006E7F10" w14:paraId="326F36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EB659" w14:textId="77777777" w:rsidR="006E7F10" w:rsidRDefault="007E1CE6">
            <w:r>
              <w:rPr>
                <w:color w:val="000000"/>
                <w:sz w:val="18"/>
                <w:szCs w:val="18"/>
              </w:rPr>
              <w:t xml:space="preserve">Indicateur : Domaine 2 — comparer basique vs </w:t>
            </w:r>
            <w:proofErr w:type="spellStart"/>
            <w:r>
              <w:rPr>
                <w:color w:val="000000"/>
                <w:sz w:val="18"/>
                <w:szCs w:val="18"/>
              </w:rPr>
              <w:t>safely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managed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dans le temps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65B95" w14:textId="77777777" w:rsidR="006E7F10" w:rsidRDefault="007E1CE6">
            <w:r>
              <w:rPr>
                <w:color w:val="000000"/>
                <w:sz w:val="18"/>
                <w:szCs w:val="18"/>
              </w:rPr>
              <w:t xml:space="preserve">Taux basique et taux </w:t>
            </w:r>
            <w:proofErr w:type="spellStart"/>
            <w:r>
              <w:rPr>
                <w:color w:val="000000"/>
                <w:sz w:val="18"/>
                <w:szCs w:val="18"/>
              </w:rPr>
              <w:t>safely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managed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 année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44883" w14:textId="77777777" w:rsidR="006E7F10" w:rsidRDefault="007E1CE6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Grouped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bar chart</w:t>
            </w:r>
          </w:p>
        </w:tc>
        <w:tc>
          <w:tcPr>
            <w:tcW w:w="122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E73D9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nationale</w:t>
            </w:r>
          </w:p>
        </w:tc>
      </w:tr>
      <w:tr w:rsidR="006E7F10" w14:paraId="531567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46BBE" w14:textId="77777777" w:rsidR="006E7F10" w:rsidRDefault="007E1CE6">
            <w:r>
              <w:rPr>
                <w:color w:val="000000"/>
                <w:sz w:val="18"/>
                <w:szCs w:val="18"/>
              </w:rPr>
              <w:t>Suivre la stabilité politique du pays dans le temps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64BDD" w14:textId="77777777" w:rsidR="006E7F10" w:rsidRDefault="007E1CE6">
            <w:r>
              <w:rPr>
                <w:color w:val="000000"/>
                <w:sz w:val="18"/>
                <w:szCs w:val="18"/>
              </w:rPr>
              <w:t>Stabilité politique par année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C9303C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 plot</w:t>
            </w:r>
          </w:p>
        </w:tc>
        <w:tc>
          <w:tcPr>
            <w:tcW w:w="1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C2433" w14:textId="77777777" w:rsidR="006E7F10" w:rsidRDefault="007E1CE6">
            <w:pPr>
              <w:jc w:val="center"/>
            </w:pPr>
            <w:r>
              <w:rPr>
                <w:color w:val="000000"/>
                <w:sz w:val="18"/>
                <w:szCs w:val="18"/>
              </w:rPr>
              <w:t>Vue nationale</w:t>
            </w:r>
          </w:p>
        </w:tc>
      </w:tr>
    </w:tbl>
    <w:p w14:paraId="771F7C91" w14:textId="77777777" w:rsidR="006E7F10" w:rsidRDefault="007E1CE6">
      <w:pPr>
        <w:spacing w:before="80" w:after="120"/>
      </w:pPr>
      <w:r>
        <w:rPr>
          <w:i/>
          <w:iCs/>
          <w:color w:val="595959"/>
          <w:sz w:val="16"/>
          <w:szCs w:val="16"/>
        </w:rPr>
        <w:t>* Page/Onglet/Vue : au sens de « Tableau de bord » si vous utilisez Tableau software, ou « page » si vous utilisez Power BI.</w:t>
      </w:r>
    </w:p>
    <w:p w14:paraId="0DFAC9E1" w14:textId="77777777" w:rsidR="006E7F10" w:rsidRDefault="007E1CE6">
      <w:pPr>
        <w:pStyle w:val="Titre1"/>
        <w:spacing w:before="240" w:after="120"/>
      </w:pPr>
      <w:r>
        <w:rPr>
          <w:b/>
          <w:bCs/>
          <w:color w:val="1F4E79"/>
          <w:sz w:val="30"/>
          <w:szCs w:val="30"/>
        </w:rPr>
        <w:lastRenderedPageBreak/>
        <w:t>Champs calculés</w:t>
      </w:r>
    </w:p>
    <w:p w14:paraId="691F724F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>Population réelle (</w:t>
      </w:r>
      <w:proofErr w:type="spellStart"/>
      <w:r>
        <w:t>hab</w:t>
      </w:r>
      <w:proofErr w:type="spellEnd"/>
      <w:r>
        <w:t>) = Population × 1000  —  les données Population sont exprimées en milliers.</w:t>
      </w:r>
    </w:p>
    <w:p w14:paraId="76713C07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 xml:space="preserve">Écart qualité = </w:t>
      </w:r>
      <w:r>
        <w:t xml:space="preserve">Taux basique − Taux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(indicateur secondaire optionnel, ex. info-bulle). À ne pas utiliser en barre empilée : un «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» nul rendrait le pays 100 % « à améliorer » à tort.</w:t>
      </w:r>
    </w:p>
    <w:p w14:paraId="7118D7FE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 xml:space="preserve">Domaine 3 : le taux de mortalité est un taux pour 100 000 </w:t>
      </w:r>
      <w:proofErr w:type="spellStart"/>
      <w:r>
        <w:t>ha</w:t>
      </w:r>
      <w:r>
        <w:t>b</w:t>
      </w:r>
      <w:proofErr w:type="spellEnd"/>
      <w:r>
        <w:t xml:space="preserve"> (max réel ≈ 107), utilisé tel quel en axe (faible = politique efficace), sans transformation.</w:t>
      </w:r>
    </w:p>
    <w:p w14:paraId="61232A6D" w14:textId="77777777" w:rsidR="006E7F10" w:rsidRDefault="007E1CE6">
      <w:pPr>
        <w:spacing w:before="40" w:after="100"/>
      </w:pPr>
      <w:r>
        <w:rPr>
          <w:i/>
          <w:iCs/>
          <w:color w:val="595959"/>
          <w:sz w:val="18"/>
          <w:szCs w:val="18"/>
        </w:rPr>
        <w:t xml:space="preserve">Règle de la réunion : tout indicateur combinant 2 variables est affiché en nuage de points — c’est pourquoi les 3 domaines sont en </w:t>
      </w:r>
      <w:proofErr w:type="spellStart"/>
      <w:r>
        <w:rPr>
          <w:i/>
          <w:iCs/>
          <w:color w:val="595959"/>
          <w:sz w:val="18"/>
          <w:szCs w:val="18"/>
        </w:rPr>
        <w:t>scatter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1D1F7AE1" w14:textId="77777777" w:rsidR="006E7F10" w:rsidRDefault="007E1CE6">
      <w:pPr>
        <w:pStyle w:val="Titre1"/>
        <w:spacing w:before="240" w:after="120"/>
      </w:pPr>
      <w:r>
        <w:rPr>
          <w:b/>
          <w:bCs/>
          <w:color w:val="1F4E79"/>
          <w:sz w:val="30"/>
          <w:szCs w:val="30"/>
        </w:rPr>
        <w:t>Filtres (4 minimum, un par nature)</w:t>
      </w:r>
    </w:p>
    <w:p w14:paraId="5BB9D710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>Quantitatif — Stabilité politique minimum : curseur numérique (plage réelle des données −3,31 → +1,97), pour exclure les pays trop instables.</w:t>
      </w:r>
    </w:p>
    <w:p w14:paraId="037C6C0A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>Qualitatif — Continent (liste) et Granularité Total / Urbain / Rural.</w:t>
      </w:r>
    </w:p>
    <w:p w14:paraId="57496C56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 xml:space="preserve">Temporel </w:t>
      </w:r>
      <w:r>
        <w:t>— Année (curseur / plage 2000–2017).</w:t>
      </w:r>
    </w:p>
    <w:p w14:paraId="36CDFBA1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>Géographique (option A) — Pays / Continent (liste déroulante).</w:t>
      </w:r>
    </w:p>
    <w:p w14:paraId="173B27E8" w14:textId="77777777" w:rsidR="006E7F10" w:rsidRDefault="007E1CE6">
      <w:r>
        <w:br w:type="page"/>
      </w:r>
    </w:p>
    <w:p w14:paraId="5376AFA5" w14:textId="77777777" w:rsidR="006E7F10" w:rsidRDefault="007E1CE6">
      <w:pPr>
        <w:pStyle w:val="Titre1"/>
        <w:spacing w:before="240" w:after="120"/>
      </w:pPr>
      <w:r>
        <w:rPr>
          <w:b/>
          <w:bCs/>
          <w:color w:val="1F4E79"/>
          <w:sz w:val="30"/>
          <w:szCs w:val="30"/>
        </w:rPr>
        <w:lastRenderedPageBreak/>
        <w:t>Wireframes basse fidélité</w:t>
      </w:r>
    </w:p>
    <w:p w14:paraId="0B3D27E8" w14:textId="77777777" w:rsidR="006E7F10" w:rsidRDefault="007E1CE6">
      <w:pPr>
        <w:pStyle w:val="Titre2"/>
        <w:spacing w:before="200" w:after="80"/>
      </w:pPr>
      <w:r>
        <w:rPr>
          <w:b/>
          <w:bCs/>
          <w:color w:val="2E75B6"/>
        </w:rPr>
        <w:t>Vue mondiale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8"/>
        <w:gridCol w:w="4498"/>
      </w:tblGrid>
      <w:tr w:rsidR="006E7F10" w14:paraId="1BD1DC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shd w:val="clear" w:color="auto" w:fill="BDD7EE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4430B663" w14:textId="77777777" w:rsidR="006E7F10" w:rsidRDefault="007E1CE6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Filtres  |  Année (curseur)  ·  Continent  ·  Stabilité min  ·  Granularité</w:t>
            </w:r>
          </w:p>
        </w:tc>
      </w:tr>
      <w:tr w:rsidR="006E7F10" w14:paraId="48480E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5CFBF08C" w14:textId="77777777" w:rsidR="006E7F10" w:rsidRDefault="007E1CE6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Carte choroplèthe mondiale — % accès eau basique (palette bleu)</w:t>
            </w:r>
          </w:p>
        </w:tc>
      </w:tr>
      <w:tr w:rsidR="006E7F10" w14:paraId="76D735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0F61A7C3" w14:textId="77777777" w:rsidR="006E7F10" w:rsidRDefault="007E1CE6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Line — Évolution mondiale 2000–2017</w:t>
            </w:r>
          </w:p>
        </w:tc>
        <w:tc>
          <w:tcPr>
            <w:tcW w:w="9026" w:type="dxa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306D9418" w14:textId="77777777" w:rsidR="006E7F10" w:rsidRDefault="007E1CE6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Grouped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bar — Accès par région OMS</w:t>
            </w:r>
          </w:p>
        </w:tc>
      </w:tr>
      <w:tr w:rsidR="006E7F10" w14:paraId="5C79FF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39325F2C" w14:textId="77777777" w:rsidR="006E7F10" w:rsidRDefault="007E1CE6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Stacked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bar — Décès eau par pays (2016, H/F)</w:t>
            </w:r>
          </w:p>
        </w:tc>
      </w:tr>
    </w:tbl>
    <w:p w14:paraId="4F5001B3" w14:textId="77777777" w:rsidR="006E7F10" w:rsidRDefault="007E1CE6">
      <w:pPr>
        <w:pStyle w:val="Titre2"/>
        <w:spacing w:before="200" w:after="80"/>
      </w:pPr>
      <w:r>
        <w:rPr>
          <w:b/>
          <w:bCs/>
          <w:color w:val="2E75B6"/>
        </w:rPr>
        <w:t>Vue continentale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0"/>
        <w:gridCol w:w="4596"/>
      </w:tblGrid>
      <w:tr w:rsidR="006E7F10" w14:paraId="74A9F8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shd w:val="clear" w:color="auto" w:fill="BDD7EE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4B5E1DCC" w14:textId="77777777" w:rsidR="006E7F10" w:rsidRDefault="007E1CE6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Filtres  |  Continent (principal)  ·  Année  ·  Stabilité min  ·  Granularité</w:t>
            </w:r>
          </w:p>
        </w:tc>
      </w:tr>
      <w:tr w:rsidR="006E7F10" w14:paraId="5BF556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37BF3919" w14:textId="77777777" w:rsidR="006E7F10" w:rsidRDefault="007E1CE6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Scatter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— D1 : % accès vs % urbain</w:t>
            </w:r>
          </w:p>
        </w:tc>
        <w:tc>
          <w:tcPr>
            <w:tcW w:w="9026" w:type="dxa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3DFE32F3" w14:textId="77777777" w:rsidR="006E7F10" w:rsidRDefault="007E1CE6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Scatter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— D3 : mortalité vs stabilité</w:t>
            </w:r>
          </w:p>
        </w:tc>
      </w:tr>
      <w:tr w:rsidR="006E7F10" w14:paraId="0F9D03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6E160E88" w14:textId="77777777" w:rsidR="006E7F10" w:rsidRDefault="007E1CE6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Scatter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— D2 : basique vs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safely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(par pays)</w:t>
            </w:r>
          </w:p>
        </w:tc>
        <w:tc>
          <w:tcPr>
            <w:tcW w:w="9026" w:type="dxa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5F385836" w14:textId="77777777" w:rsidR="006E7F10" w:rsidRDefault="007E1CE6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Line — Trajectoires (top 5 ou moyenne continent)</w:t>
            </w:r>
          </w:p>
        </w:tc>
      </w:tr>
    </w:tbl>
    <w:p w14:paraId="159D522C" w14:textId="77777777" w:rsidR="006E7F10" w:rsidRDefault="007E1CE6">
      <w:pPr>
        <w:pStyle w:val="Titre2"/>
        <w:spacing w:before="200" w:after="80"/>
      </w:pPr>
      <w:r>
        <w:rPr>
          <w:b/>
          <w:bCs/>
          <w:color w:val="2E75B6"/>
        </w:rPr>
        <w:t>Vue nationale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4"/>
        <w:gridCol w:w="4332"/>
      </w:tblGrid>
      <w:tr w:rsidR="006E7F10" w14:paraId="1DCD39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shd w:val="clear" w:color="auto" w:fill="BDD7EE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4F662CB0" w14:textId="77777777" w:rsidR="006E7F10" w:rsidRDefault="007E1CE6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Filtres  |  Pays (principal)  ·  Plage d’années  ·  Granularité  ·  Stabilité min</w:t>
            </w:r>
          </w:p>
        </w:tc>
      </w:tr>
      <w:tr w:rsidR="006E7F10" w14:paraId="5A9AF5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shd w:val="clear" w:color="auto" w:fill="F2F2F2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6521BEA0" w14:textId="77777777" w:rsidR="006E7F10" w:rsidRDefault="007E1CE6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KPI : % basique  ·  %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safely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 ·  mortalité 2016  ·  stabilité</w:t>
            </w:r>
          </w:p>
        </w:tc>
      </w:tr>
      <w:tr w:rsidR="006E7F10" w14:paraId="17A9B0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05D31A6D" w14:textId="77777777" w:rsidR="006E7F10" w:rsidRDefault="007E1CE6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Line — Accès Total/Urbain/Rural</w:t>
            </w:r>
          </w:p>
        </w:tc>
        <w:tc>
          <w:tcPr>
            <w:tcW w:w="9026" w:type="dxa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0EA9803F" w14:textId="77777777" w:rsidR="006E7F10" w:rsidRDefault="007E1CE6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Line — Population rurale vs totale</w:t>
            </w:r>
          </w:p>
        </w:tc>
      </w:tr>
      <w:tr w:rsidR="006E7F10" w14:paraId="46707A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63EAC03F" w14:textId="77777777" w:rsidR="006E7F10" w:rsidRDefault="007E1CE6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Grouped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bar — D2 : basique vs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safely</w:t>
            </w:r>
            <w:proofErr w:type="spellEnd"/>
          </w:p>
        </w:tc>
        <w:tc>
          <w:tcPr>
            <w:tcW w:w="9026" w:type="dxa"/>
            <w:shd w:val="clear" w:color="auto" w:fill="DEEB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3FDE18F6" w14:textId="77777777" w:rsidR="006E7F10" w:rsidRDefault="007E1CE6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Line — Stabilité politique dans le temps</w:t>
            </w:r>
          </w:p>
        </w:tc>
      </w:tr>
    </w:tbl>
    <w:p w14:paraId="641EE223" w14:textId="77777777" w:rsidR="006E7F10" w:rsidRDefault="007E1CE6">
      <w:r>
        <w:br w:type="page"/>
      </w:r>
    </w:p>
    <w:p w14:paraId="0FD647C3" w14:textId="77777777" w:rsidR="006E7F10" w:rsidRDefault="007E1CE6">
      <w:pPr>
        <w:pStyle w:val="Titre1"/>
        <w:spacing w:before="240" w:after="120"/>
      </w:pPr>
      <w:r>
        <w:rPr>
          <w:b/>
          <w:bCs/>
          <w:color w:val="1F4E79"/>
          <w:sz w:val="30"/>
          <w:szCs w:val="30"/>
        </w:rPr>
        <w:lastRenderedPageBreak/>
        <w:t>Prétraitement des données</w:t>
      </w:r>
    </w:p>
    <w:p w14:paraId="2A8BBEA9" w14:textId="77777777" w:rsidR="006E7F10" w:rsidRDefault="007E1CE6">
      <w:pPr>
        <w:spacing w:after="100"/>
      </w:pPr>
      <w:r>
        <w:t xml:space="preserve">Cinq fichiers CSV sont joints par jointure externe gauche sur la table </w:t>
      </w:r>
      <w:proofErr w:type="spellStart"/>
      <w:r>
        <w:t>BasicAndSafelyManagedDrinkingWaterServices</w:t>
      </w:r>
      <w:proofErr w:type="spellEnd"/>
      <w:r>
        <w:t xml:space="preserve"> (194 pays), afin de conserver tous les pays même en l’absence de données dans les autres fichiers.</w:t>
      </w:r>
    </w:p>
    <w:p w14:paraId="4E1E236C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 xml:space="preserve">+ </w:t>
      </w:r>
      <w:proofErr w:type="spellStart"/>
      <w:r>
        <w:t>RegionCountry</w:t>
      </w:r>
      <w:proofErr w:type="spellEnd"/>
      <w:r>
        <w:t xml:space="preserve"> v</w:t>
      </w:r>
      <w:r>
        <w:t>ia Country (correspondance parfaite 194 = 194).</w:t>
      </w:r>
    </w:p>
    <w:p w14:paraId="7541D1C1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 xml:space="preserve">+ Population via Country + </w:t>
      </w:r>
      <w:proofErr w:type="spellStart"/>
      <w:r>
        <w:t>Year</w:t>
      </w:r>
      <w:proofErr w:type="spellEnd"/>
      <w:r>
        <w:t xml:space="preserve"> + </w:t>
      </w:r>
      <w:proofErr w:type="spellStart"/>
      <w:r>
        <w:t>Granularity</w:t>
      </w:r>
      <w:proofErr w:type="spellEnd"/>
      <w:r>
        <w:t>.</w:t>
      </w:r>
    </w:p>
    <w:p w14:paraId="7918CC0D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 xml:space="preserve">+ </w:t>
      </w:r>
      <w:proofErr w:type="spellStart"/>
      <w:r>
        <w:t>PoliticalStability</w:t>
      </w:r>
      <w:proofErr w:type="spellEnd"/>
      <w:r>
        <w:t xml:space="preserve"> via Country + </w:t>
      </w:r>
      <w:proofErr w:type="spellStart"/>
      <w:r>
        <w:t>Year</w:t>
      </w:r>
      <w:proofErr w:type="spellEnd"/>
      <w:r>
        <w:t>.</w:t>
      </w:r>
    </w:p>
    <w:p w14:paraId="47590123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 xml:space="preserve">+ </w:t>
      </w:r>
      <w:proofErr w:type="spellStart"/>
      <w:r>
        <w:t>Mortality</w:t>
      </w:r>
      <w:proofErr w:type="spellEnd"/>
      <w:r>
        <w:t xml:space="preserve"> via Country + </w:t>
      </w:r>
      <w:proofErr w:type="spellStart"/>
      <w:r>
        <w:t>Year</w:t>
      </w:r>
      <w:proofErr w:type="spellEnd"/>
      <w:r>
        <w:t xml:space="preserve"> + </w:t>
      </w:r>
      <w:proofErr w:type="spellStart"/>
      <w:r>
        <w:t>Granularity</w:t>
      </w:r>
      <w:proofErr w:type="spellEnd"/>
      <w:r>
        <w:t>.</w:t>
      </w:r>
    </w:p>
    <w:p w14:paraId="3C8D83A4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>+ Urbanisation (</w:t>
      </w:r>
      <w:proofErr w:type="spellStart"/>
      <w:r>
        <w:t>Pct_urbain</w:t>
      </w:r>
      <w:proofErr w:type="spellEnd"/>
      <w:r>
        <w:t xml:space="preserve"> dérivé = urbain / total) via Country + </w:t>
      </w:r>
      <w:proofErr w:type="spellStart"/>
      <w:r>
        <w:t>Year</w:t>
      </w:r>
      <w:proofErr w:type="spellEnd"/>
      <w:r>
        <w:t>.</w:t>
      </w:r>
    </w:p>
    <w:p w14:paraId="1C0001F2" w14:textId="77777777" w:rsidR="006E7F10" w:rsidRDefault="007E1CE6">
      <w:pPr>
        <w:spacing w:after="100"/>
      </w:pPr>
      <w:r>
        <w:rPr>
          <w:b/>
          <w:bCs/>
        </w:rPr>
        <w:t>Ha</w:t>
      </w:r>
      <w:r>
        <w:rPr>
          <w:b/>
          <w:bCs/>
        </w:rPr>
        <w:t xml:space="preserve">rmonisation des noms de pays (sinon perte silencieuse) : </w:t>
      </w:r>
      <w:r>
        <w:t xml:space="preserve">« China, </w:t>
      </w:r>
      <w:proofErr w:type="spellStart"/>
      <w:r>
        <w:t>mainland</w:t>
      </w:r>
      <w:proofErr w:type="spellEnd"/>
      <w:r>
        <w:t xml:space="preserve"> » → « China » et « North </w:t>
      </w:r>
      <w:proofErr w:type="spellStart"/>
      <w:r>
        <w:t>Macedonia</w:t>
      </w:r>
      <w:proofErr w:type="spellEnd"/>
      <w:r>
        <w:t xml:space="preserve"> » → « </w:t>
      </w:r>
      <w:proofErr w:type="spellStart"/>
      <w:r>
        <w:t>Republic</w:t>
      </w:r>
      <w:proofErr w:type="spellEnd"/>
      <w:r>
        <w:t xml:space="preserve"> of North </w:t>
      </w:r>
      <w:proofErr w:type="spellStart"/>
      <w:r>
        <w:t>Macedonia</w:t>
      </w:r>
      <w:proofErr w:type="spellEnd"/>
      <w:r>
        <w:t xml:space="preserve"> ».</w:t>
      </w:r>
    </w:p>
    <w:p w14:paraId="475772D0" w14:textId="77777777" w:rsidR="006E7F10" w:rsidRDefault="007E1CE6">
      <w:pPr>
        <w:spacing w:after="100"/>
      </w:pPr>
      <w:r>
        <w:rPr>
          <w:b/>
          <w:bCs/>
        </w:rPr>
        <w:t xml:space="preserve">Limites connues :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incomplet (50 % de valeurs manquantes en Total, 73 % Urbain, 82 % Rural) ; m</w:t>
      </w:r>
      <w:r>
        <w:t>ortalité disponible pour la seule année 2016 ; 2 pays sans score de stabilité (Monaco, San Marino).</w:t>
      </w:r>
    </w:p>
    <w:p w14:paraId="00DC5D7F" w14:textId="77777777" w:rsidR="006E7F10" w:rsidRDefault="007E1CE6">
      <w:pPr>
        <w:pStyle w:val="Titre1"/>
        <w:spacing w:before="240" w:after="120"/>
      </w:pPr>
      <w:r>
        <w:rPr>
          <w:b/>
          <w:bCs/>
          <w:color w:val="1F4E79"/>
          <w:sz w:val="30"/>
          <w:szCs w:val="30"/>
        </w:rPr>
        <w:t>Accessibilité et conformité technique</w:t>
      </w:r>
    </w:p>
    <w:p w14:paraId="20FB9300" w14:textId="77777777" w:rsidR="006E7F10" w:rsidRDefault="007E1CE6">
      <w:pPr>
        <w:pStyle w:val="Paragraphedeliste"/>
        <w:numPr>
          <w:ilvl w:val="0"/>
          <w:numId w:val="1"/>
        </w:numPr>
        <w:spacing w:after="60"/>
      </w:pPr>
      <w:r>
        <w:t>Contrastes suffisants, palette bleu séquentielle ; pas de distinction par la seule couleur (libellés / formes) ; titres et légendes explicites.</w:t>
      </w:r>
    </w:p>
    <w:p w14:paraId="6E4333E0" w14:textId="77777777" w:rsidR="006E7F10" w:rsidRDefault="006E7F1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6E7F10" w14:paraId="72051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shd w:val="clear" w:color="auto" w:fill="2E75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A0BA7" w14:textId="77777777" w:rsidR="006E7F10" w:rsidRDefault="007E1CE6">
            <w:r>
              <w:rPr>
                <w:b/>
                <w:bCs/>
                <w:color w:val="FFFFFF"/>
                <w:sz w:val="18"/>
                <w:szCs w:val="18"/>
              </w:rPr>
              <w:t>Exigence technique (énoncé)</w:t>
            </w:r>
          </w:p>
        </w:tc>
        <w:tc>
          <w:tcPr>
            <w:tcW w:w="2226" w:type="dxa"/>
            <w:shd w:val="clear" w:color="auto" w:fill="2E75B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DDDDC" w14:textId="77777777" w:rsidR="006E7F10" w:rsidRDefault="007E1CE6">
            <w:r>
              <w:rPr>
                <w:b/>
                <w:bCs/>
                <w:color w:val="FFFFFF"/>
                <w:sz w:val="18"/>
                <w:szCs w:val="18"/>
              </w:rPr>
              <w:t>Couvert par</w:t>
            </w:r>
          </w:p>
        </w:tc>
      </w:tr>
      <w:tr w:rsidR="006E7F10" w14:paraId="5F057395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CEA59" w14:textId="77777777" w:rsidR="006E7F10" w:rsidRDefault="007E1CE6">
            <w:r>
              <w:rPr>
                <w:color w:val="000000"/>
                <w:sz w:val="18"/>
                <w:szCs w:val="18"/>
              </w:rPr>
              <w:t>Line plot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744C1" w14:textId="77777777" w:rsidR="006E7F10" w:rsidRDefault="007E1CE6">
            <w:r>
              <w:rPr>
                <w:color w:val="000000"/>
                <w:sz w:val="18"/>
                <w:szCs w:val="18"/>
              </w:rPr>
              <w:t>Vues mondiale &amp; nationale</w:t>
            </w:r>
          </w:p>
        </w:tc>
      </w:tr>
      <w:tr w:rsidR="006E7F10" w14:paraId="54549C2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0024D" w14:textId="77777777" w:rsidR="006E7F10" w:rsidRDefault="007E1CE6">
            <w:proofErr w:type="spellStart"/>
            <w:r>
              <w:rPr>
                <w:color w:val="000000"/>
                <w:sz w:val="18"/>
                <w:szCs w:val="18"/>
              </w:rPr>
              <w:t>Scatter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plot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548BF" w14:textId="77777777" w:rsidR="006E7F10" w:rsidRDefault="007E1CE6">
            <w:r>
              <w:rPr>
                <w:color w:val="000000"/>
                <w:sz w:val="18"/>
                <w:szCs w:val="18"/>
              </w:rPr>
              <w:t>Vue continentale (Domaines 1, 2 &amp; 3)</w:t>
            </w:r>
          </w:p>
        </w:tc>
      </w:tr>
      <w:tr w:rsidR="006E7F10" w14:paraId="545263F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68889" w14:textId="77777777" w:rsidR="006E7F10" w:rsidRDefault="007E1CE6">
            <w:proofErr w:type="spellStart"/>
            <w:r>
              <w:rPr>
                <w:color w:val="000000"/>
                <w:sz w:val="18"/>
                <w:szCs w:val="18"/>
              </w:rPr>
              <w:t>Grouped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bar chart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0D4D9" w14:textId="77777777" w:rsidR="006E7F10" w:rsidRDefault="007E1CE6">
            <w:r>
              <w:rPr>
                <w:color w:val="000000"/>
                <w:sz w:val="18"/>
                <w:szCs w:val="18"/>
              </w:rPr>
              <w:t>Vues mondiale &amp; nationale</w:t>
            </w:r>
          </w:p>
        </w:tc>
      </w:tr>
      <w:tr w:rsidR="006E7F10" w14:paraId="74B4DC8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10FF4" w14:textId="77777777" w:rsidR="006E7F10" w:rsidRDefault="007E1CE6">
            <w:proofErr w:type="spellStart"/>
            <w:r>
              <w:rPr>
                <w:color w:val="000000"/>
                <w:sz w:val="18"/>
                <w:szCs w:val="18"/>
              </w:rPr>
              <w:t>Stacked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bar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E0A10" w14:textId="77777777" w:rsidR="006E7F10" w:rsidRDefault="007E1CE6">
            <w:r>
              <w:rPr>
                <w:color w:val="000000"/>
                <w:sz w:val="18"/>
                <w:szCs w:val="18"/>
              </w:rPr>
              <w:t>Vue mondiale (décès par sexe)</w:t>
            </w:r>
          </w:p>
        </w:tc>
      </w:tr>
      <w:tr w:rsidR="006E7F10" w14:paraId="5E658DD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E1E22" w14:textId="77777777" w:rsidR="006E7F10" w:rsidRDefault="007E1CE6">
            <w:r>
              <w:rPr>
                <w:color w:val="000000"/>
                <w:sz w:val="18"/>
                <w:szCs w:val="18"/>
              </w:rPr>
              <w:t>Représentation temporelle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6E394" w14:textId="77777777" w:rsidR="006E7F10" w:rsidRDefault="007E1CE6">
            <w:r>
              <w:rPr>
                <w:color w:val="000000"/>
                <w:sz w:val="18"/>
                <w:szCs w:val="18"/>
              </w:rPr>
              <w:t>Line plots 2000–2017</w:t>
            </w:r>
          </w:p>
        </w:tc>
      </w:tr>
      <w:tr w:rsidR="006E7F10" w14:paraId="345665C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E57B9" w14:textId="77777777" w:rsidR="006E7F10" w:rsidRDefault="007E1CE6">
            <w:r>
              <w:rPr>
                <w:color w:val="000000"/>
                <w:sz w:val="18"/>
                <w:szCs w:val="18"/>
              </w:rPr>
              <w:t>Représentation géographique (option A)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85B61" w14:textId="77777777" w:rsidR="006E7F10" w:rsidRDefault="007E1CE6">
            <w:r>
              <w:rPr>
                <w:color w:val="000000"/>
                <w:sz w:val="18"/>
                <w:szCs w:val="18"/>
              </w:rPr>
              <w:t>Carte choroplèthe</w:t>
            </w:r>
          </w:p>
        </w:tc>
      </w:tr>
      <w:tr w:rsidR="006E7F10" w14:paraId="3E95B4D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BD025" w14:textId="77777777" w:rsidR="006E7F10" w:rsidRDefault="007E1CE6">
            <w:r>
              <w:rPr>
                <w:color w:val="000000"/>
                <w:sz w:val="18"/>
                <w:szCs w:val="18"/>
              </w:rPr>
              <w:t xml:space="preserve">4 filtres (quanti, </w:t>
            </w:r>
            <w:proofErr w:type="spellStart"/>
            <w:r>
              <w:rPr>
                <w:color w:val="000000"/>
                <w:sz w:val="18"/>
                <w:szCs w:val="18"/>
              </w:rPr>
              <w:t>quali</w:t>
            </w:r>
            <w:proofErr w:type="spellEnd"/>
            <w:r>
              <w:rPr>
                <w:color w:val="000000"/>
                <w:sz w:val="18"/>
                <w:szCs w:val="18"/>
              </w:rPr>
              <w:t>, temporel, géo)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D0C83" w14:textId="77777777" w:rsidR="006E7F10" w:rsidRDefault="007E1CE6">
            <w:r>
              <w:rPr>
                <w:color w:val="000000"/>
                <w:sz w:val="18"/>
                <w:szCs w:val="18"/>
              </w:rPr>
              <w:t>Stabilité · Granularité/Continent · Année · Pays</w:t>
            </w:r>
          </w:p>
        </w:tc>
      </w:tr>
      <w:tr w:rsidR="006E7F10" w14:paraId="6359A31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66462" w14:textId="77777777" w:rsidR="006E7F10" w:rsidRDefault="007E1CE6">
            <w:r>
              <w:rPr>
                <w:color w:val="000000"/>
                <w:sz w:val="18"/>
                <w:szCs w:val="18"/>
              </w:rPr>
              <w:t>Agrégation / champ calculé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5CEC0" w14:textId="77777777" w:rsidR="006E7F10" w:rsidRDefault="007E1CE6">
            <w:r>
              <w:rPr>
                <w:color w:val="000000"/>
                <w:sz w:val="18"/>
                <w:szCs w:val="18"/>
              </w:rPr>
              <w:t>Moyennes, Population ×1000, Écart qualité</w:t>
            </w:r>
          </w:p>
        </w:tc>
      </w:tr>
      <w:tr w:rsidR="006E7F10" w14:paraId="58BE7E6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1C52E" w14:textId="77777777" w:rsidR="006E7F10" w:rsidRDefault="007E1CE6">
            <w:r>
              <w:rPr>
                <w:color w:val="000000"/>
                <w:sz w:val="18"/>
                <w:szCs w:val="18"/>
              </w:rPr>
              <w:t>Jointure entre fichiers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62ECF" w14:textId="77777777" w:rsidR="006E7F10" w:rsidRDefault="007E1CE6">
            <w:r>
              <w:rPr>
                <w:color w:val="000000"/>
                <w:sz w:val="18"/>
                <w:szCs w:val="18"/>
              </w:rPr>
              <w:t>5 fusions (jointure externe gauche)</w:t>
            </w:r>
          </w:p>
        </w:tc>
      </w:tr>
      <w:tr w:rsidR="006E7F10" w14:paraId="00C465D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464DD" w14:textId="77777777" w:rsidR="006E7F10" w:rsidRDefault="007E1CE6">
            <w:r>
              <w:rPr>
                <w:color w:val="000000"/>
                <w:sz w:val="18"/>
                <w:szCs w:val="18"/>
              </w:rPr>
              <w:t>Palette bleue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E44DC" w14:textId="77777777" w:rsidR="006E7F10" w:rsidRDefault="007E1CE6">
            <w:r>
              <w:rPr>
                <w:color w:val="000000"/>
                <w:sz w:val="18"/>
                <w:szCs w:val="18"/>
              </w:rPr>
              <w:t>Séquentielle sur toutes les vues</w:t>
            </w:r>
          </w:p>
        </w:tc>
      </w:tr>
      <w:tr w:rsidR="006E7F10" w14:paraId="493FC58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3D29C" w14:textId="77777777" w:rsidR="006E7F10" w:rsidRDefault="007E1CE6">
            <w:r>
              <w:rPr>
                <w:color w:val="000000"/>
                <w:sz w:val="18"/>
                <w:szCs w:val="18"/>
              </w:rPr>
              <w:t>Accessibilité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3548F" w14:textId="77777777" w:rsidR="006E7F10" w:rsidRDefault="007E1CE6">
            <w:r>
              <w:rPr>
                <w:color w:val="000000"/>
                <w:sz w:val="18"/>
                <w:szCs w:val="18"/>
              </w:rPr>
              <w:t>Contrastes, libellés, double encodage</w:t>
            </w:r>
          </w:p>
        </w:tc>
      </w:tr>
    </w:tbl>
    <w:p w14:paraId="2E89D0DB" w14:textId="77777777" w:rsidR="007E1CE6" w:rsidRDefault="007E1CE6"/>
    <w:sectPr w:rsidR="007E1CE6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334A3"/>
    <w:multiLevelType w:val="hybridMultilevel"/>
    <w:tmpl w:val="2A3CB556"/>
    <w:lvl w:ilvl="0" w:tplc="2EDC3AAE">
      <w:start w:val="1"/>
      <w:numFmt w:val="bullet"/>
      <w:lvlText w:val="●"/>
      <w:lvlJc w:val="left"/>
      <w:pPr>
        <w:ind w:left="720" w:hanging="360"/>
      </w:pPr>
    </w:lvl>
    <w:lvl w:ilvl="1" w:tplc="A5CE74F2">
      <w:start w:val="1"/>
      <w:numFmt w:val="bullet"/>
      <w:lvlText w:val="○"/>
      <w:lvlJc w:val="left"/>
      <w:pPr>
        <w:ind w:left="1440" w:hanging="360"/>
      </w:pPr>
    </w:lvl>
    <w:lvl w:ilvl="2" w:tplc="CDFCB51A">
      <w:start w:val="1"/>
      <w:numFmt w:val="bullet"/>
      <w:lvlText w:val="■"/>
      <w:lvlJc w:val="left"/>
      <w:pPr>
        <w:ind w:left="2160" w:hanging="360"/>
      </w:pPr>
    </w:lvl>
    <w:lvl w:ilvl="3" w:tplc="335CDA6C">
      <w:start w:val="1"/>
      <w:numFmt w:val="bullet"/>
      <w:lvlText w:val="●"/>
      <w:lvlJc w:val="left"/>
      <w:pPr>
        <w:ind w:left="2880" w:hanging="360"/>
      </w:pPr>
    </w:lvl>
    <w:lvl w:ilvl="4" w:tplc="2488CFC8">
      <w:start w:val="1"/>
      <w:numFmt w:val="bullet"/>
      <w:lvlText w:val="○"/>
      <w:lvlJc w:val="left"/>
      <w:pPr>
        <w:ind w:left="3600" w:hanging="360"/>
      </w:pPr>
    </w:lvl>
    <w:lvl w:ilvl="5" w:tplc="AF2A66D8">
      <w:start w:val="1"/>
      <w:numFmt w:val="bullet"/>
      <w:lvlText w:val="■"/>
      <w:lvlJc w:val="left"/>
      <w:pPr>
        <w:ind w:left="4320" w:hanging="360"/>
      </w:pPr>
    </w:lvl>
    <w:lvl w:ilvl="6" w:tplc="0038A99A">
      <w:start w:val="1"/>
      <w:numFmt w:val="bullet"/>
      <w:lvlText w:val="●"/>
      <w:lvlJc w:val="left"/>
      <w:pPr>
        <w:ind w:left="5040" w:hanging="360"/>
      </w:pPr>
    </w:lvl>
    <w:lvl w:ilvl="7" w:tplc="0694C88C">
      <w:start w:val="1"/>
      <w:numFmt w:val="bullet"/>
      <w:lvlText w:val="●"/>
      <w:lvlJc w:val="left"/>
      <w:pPr>
        <w:ind w:left="5760" w:hanging="360"/>
      </w:pPr>
    </w:lvl>
    <w:lvl w:ilvl="8" w:tplc="4CFCE3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F10"/>
    <w:rsid w:val="006E7F10"/>
    <w:rsid w:val="007E1CE6"/>
    <w:rsid w:val="00F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D4D8D"/>
  <w15:docId w15:val="{D6A7C413-FD2B-4FE0-BACD-C6A8531F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3174</TotalTime>
  <Pages>4</Pages>
  <Words>1031</Words>
  <Characters>5676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sabah rizki</cp:lastModifiedBy>
  <cp:revision>2</cp:revision>
  <dcterms:created xsi:type="dcterms:W3CDTF">2026-08-06T20:25:00Z</dcterms:created>
  <dcterms:modified xsi:type="dcterms:W3CDTF">2026-08-06T20:25:00Z</dcterms:modified>
</cp:coreProperties>
</file>