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</w:rPr>
        <w:t xml:space="preserve">Table 1. Summary of MAFFT-aligned COX1 sequences used for phylogenetic analysis.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800"/>
        <w:gridCol w:w="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Aligned Length (bp)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 Content (%)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Aptenodytes forsteri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Aptenodytes patagonicus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Eudyptula 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Pygoscelis adeliae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Pygoscelis papua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</w:tbl>
    <w:p>
      <w:pPr>
        <w:spacing w:before="200"/>
      </w:pPr>
      <w:r>
        <w:rPr>
          <w:i/>
          <w:iCs/>
        </w:rPr>
        <w:t xml:space="preserve">All sequences are 516 bp in length with no gaps, indicating a clean and complete alignment. GC content is consistently low across all taxa, typical for avian mitochondrial COX1 sequences.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2026-04-28T02:14:27.350Z</dcterms:created>
  <dcterms:modified xsi:type="dcterms:W3CDTF">2026-04-28T02:14:27.351Z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