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24476B"/>
          <w:sz w:val="50"/>
        </w:rPr>
        <w:t>SOC INCIDENT TRIAGE</w:t>
        <w:br/>
        <w:t>&amp; INVESTIGATION REPORT</w:t>
      </w:r>
    </w:p>
    <w:p>
      <w:pPr>
        <w:jc w:val="center"/>
      </w:pPr>
      <w:r>
        <w:rPr>
          <w:b/>
          <w:sz w:val="34"/>
        </w:rPr>
        <w:t>Incident IR-2026-001</w:t>
      </w:r>
    </w:p>
    <w:p>
      <w:pPr>
        <w:jc w:val="center"/>
      </w:pPr>
      <w:r>
        <w:rPr>
          <w:i/>
        </w:rPr>
        <w:t>Suspected Account Compromise and Privilege Abuse</w:t>
      </w:r>
    </w:p>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4476B"/>
          </w:tcPr>
          <w:p>
            <w:pPr>
              <w:spacing w:after="0"/>
            </w:pPr>
            <w:r/>
            <w:r>
              <w:rPr>
                <w:b/>
                <w:color w:val="FFFFFF"/>
              </w:rPr>
              <w:t>Document field</w:t>
            </w:r>
          </w:p>
        </w:tc>
        <w:tc>
          <w:tcPr>
            <w:tcW w:type="dxa" w:w="5040"/>
            <w:vAlign w:val="center"/>
            <w:shd w:fill="24476B"/>
          </w:tcPr>
          <w:p>
            <w:pPr>
              <w:spacing w:after="0"/>
            </w:pPr>
            <w:r/>
            <w:r>
              <w:rPr>
                <w:b/>
                <w:color w:val="FFFFFF"/>
              </w:rPr>
              <w:t>Value</w:t>
            </w:r>
          </w:p>
        </w:tc>
      </w:tr>
      <w:tr>
        <w:tc>
          <w:tcPr>
            <w:tcW w:type="dxa" w:w="5040"/>
            <w:vAlign w:val="center"/>
          </w:tcPr>
          <w:p>
            <w:pPr>
              <w:spacing w:after="0"/>
            </w:pPr>
            <w:r/>
            <w:r>
              <w:rPr>
                <w:b w:val="0"/>
              </w:rPr>
              <w:t>Document type</w:t>
            </w:r>
          </w:p>
        </w:tc>
        <w:tc>
          <w:tcPr>
            <w:tcW w:type="dxa" w:w="5040"/>
            <w:vAlign w:val="center"/>
          </w:tcPr>
          <w:p>
            <w:pPr>
              <w:spacing w:after="0"/>
            </w:pPr>
            <w:r/>
            <w:r>
              <w:rPr>
                <w:b w:val="0"/>
              </w:rPr>
              <w:t>Training incident triage and investigation report</w:t>
            </w:r>
          </w:p>
        </w:tc>
      </w:tr>
      <w:tr>
        <w:tc>
          <w:tcPr>
            <w:tcW w:type="dxa" w:w="5040"/>
            <w:vAlign w:val="center"/>
          </w:tcPr>
          <w:p>
            <w:pPr>
              <w:spacing w:after="0"/>
            </w:pPr>
            <w:r/>
            <w:r>
              <w:rPr>
                <w:b w:val="0"/>
              </w:rPr>
              <w:t>Case status</w:t>
            </w:r>
          </w:p>
        </w:tc>
        <w:tc>
          <w:tcPr>
            <w:tcW w:type="dxa" w:w="5040"/>
            <w:vAlign w:val="center"/>
          </w:tcPr>
          <w:p>
            <w:pPr>
              <w:spacing w:after="0"/>
            </w:pPr>
            <w:r/>
            <w:r>
              <w:rPr>
                <w:b w:val="0"/>
              </w:rPr>
              <w:t>Open / pending impact assessment in the training scenario</w:t>
            </w:r>
          </w:p>
        </w:tc>
      </w:tr>
      <w:tr>
        <w:tc>
          <w:tcPr>
            <w:tcW w:type="dxa" w:w="5040"/>
            <w:vAlign w:val="center"/>
          </w:tcPr>
          <w:p>
            <w:pPr>
              <w:spacing w:after="0"/>
            </w:pPr>
            <w:r/>
            <w:r>
              <w:rPr>
                <w:b w:val="0"/>
              </w:rPr>
              <w:t>Classification</w:t>
            </w:r>
          </w:p>
        </w:tc>
        <w:tc>
          <w:tcPr>
            <w:tcW w:type="dxa" w:w="5040"/>
            <w:vAlign w:val="center"/>
          </w:tcPr>
          <w:p>
            <w:pPr>
              <w:spacing w:after="0"/>
            </w:pPr>
            <w:r/>
            <w:r>
              <w:rPr>
                <w:b w:val="0"/>
              </w:rPr>
              <w:t>Confirmed unauthorized IAM policy change; suspected account compromise and data exposure</w:t>
            </w:r>
          </w:p>
        </w:tc>
      </w:tr>
      <w:tr>
        <w:tc>
          <w:tcPr>
            <w:tcW w:type="dxa" w:w="5040"/>
            <w:vAlign w:val="center"/>
          </w:tcPr>
          <w:p>
            <w:pPr>
              <w:spacing w:after="0"/>
            </w:pPr>
            <w:r/>
            <w:r>
              <w:rPr>
                <w:b w:val="0"/>
              </w:rPr>
              <w:t>Environment</w:t>
            </w:r>
          </w:p>
        </w:tc>
        <w:tc>
          <w:tcPr>
            <w:tcW w:type="dxa" w:w="5040"/>
            <w:vAlign w:val="center"/>
          </w:tcPr>
          <w:p>
            <w:pPr>
              <w:spacing w:after="0"/>
            </w:pPr>
            <w:r/>
            <w:r>
              <w:rPr>
                <w:b w:val="0"/>
              </w:rPr>
              <w:t>Fictional company using authentication logs, AWS CloudTrail, cloud data-access logs, and a SIEM</w:t>
            </w:r>
          </w:p>
        </w:tc>
      </w:tr>
      <w:tr>
        <w:tc>
          <w:tcPr>
            <w:tcW w:type="dxa" w:w="5040"/>
            <w:vAlign w:val="center"/>
          </w:tcPr>
          <w:p>
            <w:pPr>
              <w:spacing w:after="0"/>
            </w:pPr>
            <w:r/>
            <w:r>
              <w:rPr>
                <w:b w:val="0"/>
              </w:rPr>
              <w:t>Prepared for</w:t>
            </w:r>
          </w:p>
        </w:tc>
        <w:tc>
          <w:tcPr>
            <w:tcW w:type="dxa" w:w="5040"/>
            <w:vAlign w:val="center"/>
          </w:tcPr>
          <w:p>
            <w:pPr>
              <w:spacing w:after="0"/>
            </w:pPr>
            <w:r/>
            <w:r>
              <w:rPr>
                <w:b w:val="0"/>
              </w:rPr>
              <w:t>Cybersecurity study and SOC review preparation</w:t>
            </w:r>
          </w:p>
        </w:tc>
      </w:tr>
      <w:tr>
        <w:tc>
          <w:tcPr>
            <w:tcW w:type="dxa" w:w="5040"/>
            <w:vAlign w:val="center"/>
          </w:tcPr>
          <w:p>
            <w:pPr>
              <w:spacing w:after="0"/>
            </w:pPr>
            <w:r/>
            <w:r>
              <w:rPr>
                <w:b w:val="0"/>
              </w:rPr>
              <w:t>Data note</w:t>
            </w:r>
          </w:p>
        </w:tc>
        <w:tc>
          <w:tcPr>
            <w:tcW w:type="dxa" w:w="5040"/>
            <w:vAlign w:val="center"/>
          </w:tcPr>
          <w:p>
            <w:pPr>
              <w:spacing w:after="0"/>
            </w:pPr>
            <w:r/>
            <w:r>
              <w:rPr>
                <w:b w:val="0"/>
              </w:rPr>
              <w:t>All events and timestamps are simulated. No real environment was investigated.</w:t>
            </w:r>
          </w:p>
        </w:tc>
      </w:tr>
    </w:tbl>
    <w:p>
      <w:pPr>
        <w:spacing w:after="20"/>
      </w:pPr>
    </w:p>
    <w:p>
      <w:pPr>
        <w:jc w:val="center"/>
      </w:pPr>
      <w:r>
        <w:rPr>
          <w:b/>
          <w:color w:val="B4412D"/>
          <w:sz w:val="20"/>
        </w:rPr>
        <w:t>TRAINING EXERCISE — NOT A REAL INCIDENT REPORT</w:t>
      </w:r>
    </w:p>
    <w:p>
      <w:r>
        <w:br w:type="page"/>
      </w:r>
    </w:p>
    <w:p>
      <w:pPr>
        <w:pStyle w:val="Heading1"/>
      </w:pPr>
      <w:r>
        <w:t>1. Executive Summary</w:t>
      </w:r>
    </w:p>
    <w:p>
      <w:r>
        <w:t>The fictional SOC detected twelve failed authentication attempts for employee01 within five minutes. A successful login from the same unfamiliar source IP followed. Subsequent AWS CloudTrail telemetry recorded an unauthorized IAM policy change, and cloud access logs showed sensitive-data access. The event sequence raised concern for account compromise and privilege abuse.</w:t>
      </w:r>
    </w:p>
    <w:p>
      <w:r>
        <w:t>The analyst validated the initial alert, correlated authentication and cloud events, raised the investigation priority, preserved relevant evidence, and escalated according to the response process. In the scenario, the IAM policy change was confirmed to be unauthorized. The response team initiated authorized containment. Containment success was described as verified for the closure-question stage, but the full scope of sensitive-data access and potential exfiltration remained unresolved. Therefore, the case should remain open or in an approved pending-investigation state until closure criteria are satisfied.</w:t>
      </w:r>
    </w:p>
    <w:p>
      <w:r>
        <w:t>This report intentionally distinguishes confirmed scenario facts from hypotheses and unknowns. It does not claim that data was exfiltrated, that a particular vulnerability was exploited, or that the initial access method has been established.</w:t>
      </w:r>
    </w:p>
    <w:p>
      <w:pPr>
        <w:pStyle w:val="Heading1"/>
      </w:pPr>
      <w:r>
        <w:t>2. Incident Details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4476B"/>
          </w:tcPr>
          <w:p>
            <w:pPr>
              <w:spacing w:after="0"/>
            </w:pPr>
            <w:r/>
            <w:r>
              <w:rPr>
                <w:b/>
                <w:color w:val="FFFFFF"/>
              </w:rPr>
              <w:t>Field</w:t>
            </w:r>
          </w:p>
        </w:tc>
        <w:tc>
          <w:tcPr>
            <w:tcW w:type="dxa" w:w="5040"/>
            <w:vAlign w:val="center"/>
            <w:shd w:fill="24476B"/>
          </w:tcPr>
          <w:p>
            <w:pPr>
              <w:spacing w:after="0"/>
            </w:pPr>
            <w:r/>
            <w:r>
              <w:rPr>
                <w:b/>
                <w:color w:val="FFFFFF"/>
              </w:rPr>
              <w:t>Details</w:t>
            </w:r>
          </w:p>
        </w:tc>
      </w:tr>
      <w:tr>
        <w:tc>
          <w:tcPr>
            <w:tcW w:type="dxa" w:w="5040"/>
            <w:vAlign w:val="center"/>
          </w:tcPr>
          <w:p>
            <w:pPr>
              <w:spacing w:after="0"/>
            </w:pPr>
            <w:r/>
            <w:r>
              <w:rPr>
                <w:b w:val="0"/>
              </w:rPr>
              <w:t>Incident ID</w:t>
            </w:r>
          </w:p>
        </w:tc>
        <w:tc>
          <w:tcPr>
            <w:tcW w:type="dxa" w:w="5040"/>
            <w:vAlign w:val="center"/>
          </w:tcPr>
          <w:p>
            <w:pPr>
              <w:spacing w:after="0"/>
            </w:pPr>
            <w:r/>
            <w:r>
              <w:rPr>
                <w:b w:val="0"/>
              </w:rPr>
              <w:t>IR-2026-001</w:t>
            </w:r>
          </w:p>
        </w:tc>
      </w:tr>
      <w:tr>
        <w:tc>
          <w:tcPr>
            <w:tcW w:type="dxa" w:w="5040"/>
            <w:vAlign w:val="center"/>
          </w:tcPr>
          <w:p>
            <w:pPr>
              <w:spacing w:after="0"/>
            </w:pPr>
            <w:r/>
            <w:r>
              <w:rPr>
                <w:b w:val="0"/>
              </w:rPr>
              <w:t>Incident category</w:t>
            </w:r>
          </w:p>
        </w:tc>
        <w:tc>
          <w:tcPr>
            <w:tcW w:type="dxa" w:w="5040"/>
            <w:vAlign w:val="center"/>
          </w:tcPr>
          <w:p>
            <w:pPr>
              <w:spacing w:after="0"/>
            </w:pPr>
            <w:r/>
            <w:r>
              <w:rPr>
                <w:b w:val="0"/>
              </w:rPr>
              <w:t>Suspected account compromise / privilege abuse</w:t>
            </w:r>
          </w:p>
        </w:tc>
      </w:tr>
      <w:tr>
        <w:tc>
          <w:tcPr>
            <w:tcW w:type="dxa" w:w="5040"/>
            <w:vAlign w:val="center"/>
          </w:tcPr>
          <w:p>
            <w:pPr>
              <w:spacing w:after="0"/>
            </w:pPr>
            <w:r/>
            <w:r>
              <w:rPr>
                <w:b w:val="0"/>
              </w:rPr>
              <w:t>Initial detection</w:t>
            </w:r>
          </w:p>
        </w:tc>
        <w:tc>
          <w:tcPr>
            <w:tcW w:type="dxa" w:w="5040"/>
            <w:vAlign w:val="center"/>
          </w:tcPr>
          <w:p>
            <w:pPr>
              <w:spacing w:after="0"/>
            </w:pPr>
            <w:r/>
            <w:r>
              <w:rPr>
                <w:b w:val="0"/>
              </w:rPr>
              <w:t>12 failed logins in five minutes</w:t>
            </w:r>
          </w:p>
        </w:tc>
      </w:tr>
      <w:tr>
        <w:tc>
          <w:tcPr>
            <w:tcW w:type="dxa" w:w="5040"/>
            <w:vAlign w:val="center"/>
          </w:tcPr>
          <w:p>
            <w:pPr>
              <w:spacing w:after="0"/>
            </w:pPr>
            <w:r/>
            <w:r>
              <w:rPr>
                <w:b w:val="0"/>
              </w:rPr>
              <w:t>Account</w:t>
            </w:r>
          </w:p>
        </w:tc>
        <w:tc>
          <w:tcPr>
            <w:tcW w:type="dxa" w:w="5040"/>
            <w:vAlign w:val="center"/>
          </w:tcPr>
          <w:p>
            <w:pPr>
              <w:spacing w:after="0"/>
            </w:pPr>
            <w:r/>
            <w:r>
              <w:rPr>
                <w:b w:val="0"/>
              </w:rPr>
              <w:t>employee01</w:t>
            </w:r>
          </w:p>
        </w:tc>
      </w:tr>
      <w:tr>
        <w:tc>
          <w:tcPr>
            <w:tcW w:type="dxa" w:w="5040"/>
            <w:vAlign w:val="center"/>
          </w:tcPr>
          <w:p>
            <w:pPr>
              <w:spacing w:after="0"/>
            </w:pPr>
            <w:r/>
            <w:r>
              <w:rPr>
                <w:b w:val="0"/>
              </w:rPr>
              <w:t>Source IP</w:t>
            </w:r>
          </w:p>
        </w:tc>
        <w:tc>
          <w:tcPr>
            <w:tcW w:type="dxa" w:w="5040"/>
            <w:vAlign w:val="center"/>
          </w:tcPr>
          <w:p>
            <w:pPr>
              <w:spacing w:after="0"/>
            </w:pPr>
            <w:r/>
            <w:r>
              <w:rPr>
                <w:b w:val="0"/>
              </w:rPr>
              <w:t>203.0.113.25 (documentation/example IP range; simulated)</w:t>
            </w:r>
          </w:p>
        </w:tc>
      </w:tr>
      <w:tr>
        <w:tc>
          <w:tcPr>
            <w:tcW w:type="dxa" w:w="5040"/>
            <w:vAlign w:val="center"/>
          </w:tcPr>
          <w:p>
            <w:pPr>
              <w:spacing w:after="0"/>
            </w:pPr>
            <w:r/>
            <w:r>
              <w:rPr>
                <w:b w:val="0"/>
              </w:rPr>
              <w:t>Systems/log sources</w:t>
            </w:r>
          </w:p>
        </w:tc>
        <w:tc>
          <w:tcPr>
            <w:tcW w:type="dxa" w:w="5040"/>
            <w:vAlign w:val="center"/>
          </w:tcPr>
          <w:p>
            <w:pPr>
              <w:spacing w:after="0"/>
            </w:pPr>
            <w:r/>
            <w:r>
              <w:rPr>
                <w:b w:val="0"/>
              </w:rPr>
              <w:t>Authentication server logs, AWS CloudTrail, cloud data-access logs, central SIEM</w:t>
            </w:r>
          </w:p>
        </w:tc>
      </w:tr>
      <w:tr>
        <w:tc>
          <w:tcPr>
            <w:tcW w:type="dxa" w:w="5040"/>
            <w:vAlign w:val="center"/>
          </w:tcPr>
          <w:p>
            <w:pPr>
              <w:spacing w:after="0"/>
            </w:pPr>
            <w:r/>
            <w:r>
              <w:rPr>
                <w:b w:val="0"/>
              </w:rPr>
              <w:t>Priority</w:t>
            </w:r>
          </w:p>
        </w:tc>
        <w:tc>
          <w:tcPr>
            <w:tcW w:type="dxa" w:w="5040"/>
            <w:vAlign w:val="center"/>
          </w:tcPr>
          <w:p>
            <w:pPr>
              <w:spacing w:after="0"/>
            </w:pPr>
            <w:r/>
            <w:r>
              <w:rPr>
                <w:b w:val="0"/>
              </w:rPr>
              <w:t>High priority for this training scenario; real severity must follow organizational criteria</w:t>
            </w:r>
          </w:p>
        </w:tc>
      </w:tr>
      <w:tr>
        <w:tc>
          <w:tcPr>
            <w:tcW w:type="dxa" w:w="5040"/>
            <w:vAlign w:val="center"/>
          </w:tcPr>
          <w:p>
            <w:pPr>
              <w:spacing w:after="0"/>
            </w:pPr>
            <w:r/>
            <w:r>
              <w:rPr>
                <w:b w:val="0"/>
              </w:rPr>
              <w:t>Current status</w:t>
            </w:r>
          </w:p>
        </w:tc>
        <w:tc>
          <w:tcPr>
            <w:tcW w:type="dxa" w:w="5040"/>
            <w:vAlign w:val="center"/>
          </w:tcPr>
          <w:p>
            <w:pPr>
              <w:spacing w:after="0"/>
            </w:pPr>
            <w:r/>
            <w:r>
              <w:rPr>
                <w:b w:val="0"/>
              </w:rPr>
              <w:t>Open / pending full impact assessment</w:t>
            </w:r>
          </w:p>
        </w:tc>
      </w:tr>
      <w:tr>
        <w:tc>
          <w:tcPr>
            <w:tcW w:type="dxa" w:w="5040"/>
            <w:vAlign w:val="center"/>
          </w:tcPr>
          <w:p>
            <w:pPr>
              <w:spacing w:after="0"/>
            </w:pPr>
            <w:r/>
            <w:r>
              <w:rPr>
                <w:b w:val="0"/>
              </w:rPr>
              <w:t>Primary objectives</w:t>
            </w:r>
          </w:p>
        </w:tc>
        <w:tc>
          <w:tcPr>
            <w:tcW w:type="dxa" w:w="5040"/>
            <w:vAlign w:val="center"/>
          </w:tcPr>
          <w:p>
            <w:pPr>
              <w:spacing w:after="0"/>
            </w:pPr>
            <w:r/>
            <w:r>
              <w:rPr>
                <w:b w:val="0"/>
              </w:rPr>
              <w:t>Validate activity, determine scope and impact, contain access, eradicate unauthorized changes, recover safely, document lessons</w:t>
            </w:r>
          </w:p>
        </w:tc>
      </w:tr>
    </w:tbl>
    <w:p>
      <w:pPr>
        <w:spacing w:after="20"/>
      </w:pPr>
    </w:p>
    <w:p>
      <w:pPr>
        <w:pStyle w:val="Heading1"/>
      </w:pPr>
      <w:r>
        <w:t>3. Scope, Assumptions, and Limitations</w:t>
      </w:r>
    </w:p>
    <w:p>
      <w:pPr>
        <w:pStyle w:val="ListBullet"/>
        <w:spacing w:after="40"/>
      </w:pPr>
      <w:r>
        <w:t>This is a fictional case study created for learning Modules 15–18: SOC Fundamentals &amp; Incident Response, Log Analysis &amp; Threat Detection, SIEM Engineering, and SOC Operations &amp; Security Monitoring.</w:t>
      </w:r>
    </w:p>
    <w:p>
      <w:pPr>
        <w:pStyle w:val="ListBullet"/>
        <w:spacing w:after="40"/>
      </w:pPr>
      <w:r>
        <w:t>The timestamps and event sequence are illustrative. The case does not contain actual raw log files, AWS account IDs, request IDs, session identifiers, or verified data-transfer records.</w:t>
      </w:r>
    </w:p>
    <w:p>
      <w:pPr>
        <w:pStyle w:val="ListBullet"/>
        <w:spacing w:after="40"/>
      </w:pPr>
      <w:r>
        <w:t>The source IP 203.0.113.25 is within a range reserved for documentation and examples; it is not evidence of a real attacker.</w:t>
      </w:r>
    </w:p>
    <w:p>
      <w:pPr>
        <w:pStyle w:val="ListBullet"/>
        <w:spacing w:after="40"/>
      </w:pPr>
      <w:r>
        <w:t>The case confirms an unauthorized IAM policy change only within the scenario. It does not establish the identity of the attacker, the initial access method, or data exfiltration.</w:t>
      </w:r>
    </w:p>
    <w:p>
      <w:pPr>
        <w:pStyle w:val="ListBullet"/>
        <w:spacing w:after="40"/>
      </w:pPr>
      <w:r>
        <w:t>Containment actions described are recommended/assumed workflow steps, not commands executed in a real AWS account.</w:t>
      </w:r>
    </w:p>
    <w:p>
      <w:pPr>
        <w:pStyle w:val="ListBullet"/>
        <w:spacing w:after="40"/>
      </w:pPr>
      <w:r>
        <w:t>Severity labels, tier responsibilities, and closure requirements vary by organization and should follow the applicable incident-response policy.</w:t>
      </w:r>
    </w:p>
    <w:p>
      <w:pPr>
        <w:pStyle w:val="Heading1"/>
      </w:pPr>
      <w:r>
        <w:t>4. Incident Timeline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24476B"/>
          </w:tcPr>
          <w:p>
            <w:pPr>
              <w:spacing w:after="0"/>
            </w:pPr>
            <w:r/>
            <w:r>
              <w:rPr>
                <w:b/>
                <w:color w:val="FFFFFF"/>
              </w:rPr>
              <w:t>Time (simulated)</w:t>
            </w:r>
          </w:p>
        </w:tc>
        <w:tc>
          <w:tcPr>
            <w:tcW w:type="dxa" w:w="2520"/>
            <w:vAlign w:val="center"/>
            <w:shd w:fill="24476B"/>
          </w:tcPr>
          <w:p>
            <w:pPr>
              <w:spacing w:after="0"/>
            </w:pPr>
            <w:r/>
            <w:r>
              <w:rPr>
                <w:b/>
                <w:color w:val="FFFFFF"/>
              </w:rPr>
              <w:t>Evidence / action</w:t>
            </w:r>
          </w:p>
        </w:tc>
        <w:tc>
          <w:tcPr>
            <w:tcW w:type="dxa" w:w="2520"/>
            <w:vAlign w:val="center"/>
            <w:shd w:fill="24476B"/>
          </w:tcPr>
          <w:p>
            <w:pPr>
              <w:spacing w:after="0"/>
            </w:pPr>
            <w:r/>
            <w:r>
              <w:rPr>
                <w:b/>
                <w:color w:val="FFFFFF"/>
              </w:rPr>
              <w:t>Interpretation</w:t>
            </w:r>
          </w:p>
        </w:tc>
        <w:tc>
          <w:tcPr>
            <w:tcW w:type="dxa" w:w="2520"/>
            <w:vAlign w:val="center"/>
            <w:shd w:fill="24476B"/>
          </w:tcPr>
          <w:p>
            <w:pPr>
              <w:spacing w:after="0"/>
            </w:pPr>
            <w:r/>
            <w:r>
              <w:rPr>
                <w:b/>
                <w:color w:val="FFFFFF"/>
              </w:rPr>
              <w:t>Status</w:t>
            </w:r>
          </w:p>
        </w:tc>
      </w:tr>
      <w:tr>
        <w:tc>
          <w:tcPr>
            <w:tcW w:type="dxa" w:w="2520"/>
            <w:vAlign w:val="center"/>
          </w:tcPr>
          <w:p>
            <w:pPr>
              <w:spacing w:after="0"/>
            </w:pPr>
            <w:r/>
            <w:r>
              <w:rPr>
                <w:b w:val="0"/>
              </w:rPr>
              <w:t>09:10–09:15</w:t>
            </w:r>
          </w:p>
        </w:tc>
        <w:tc>
          <w:tcPr>
            <w:tcW w:type="dxa" w:w="2520"/>
            <w:vAlign w:val="center"/>
          </w:tcPr>
          <w:p>
            <w:pPr>
              <w:spacing w:after="0"/>
            </w:pPr>
            <w:r/>
            <w:r>
              <w:rPr>
                <w:b w:val="0"/>
              </w:rPr>
              <w:t>12 failed logins for employee01 from 203.0.113.25</w:t>
            </w:r>
          </w:p>
        </w:tc>
        <w:tc>
          <w:tcPr>
            <w:tcW w:type="dxa" w:w="2520"/>
            <w:vAlign w:val="center"/>
          </w:tcPr>
          <w:p>
            <w:pPr>
              <w:spacing w:after="0"/>
            </w:pPr>
            <w:r/>
            <w:r>
              <w:rPr>
                <w:b w:val="0"/>
              </w:rPr>
              <w:t>Possible brute-force or credential-abuse activity; needs validation</w:t>
            </w:r>
          </w:p>
        </w:tc>
        <w:tc>
          <w:tcPr>
            <w:tcW w:type="dxa" w:w="2520"/>
            <w:vAlign w:val="center"/>
          </w:tcPr>
          <w:p>
            <w:pPr>
              <w:spacing w:after="0"/>
            </w:pPr>
            <w:r/>
            <w:r>
              <w:rPr>
                <w:b w:val="0"/>
              </w:rPr>
              <w:t>Observed in scenario</w:t>
            </w:r>
          </w:p>
        </w:tc>
      </w:tr>
      <w:tr>
        <w:tc>
          <w:tcPr>
            <w:tcW w:type="dxa" w:w="2520"/>
            <w:vAlign w:val="center"/>
          </w:tcPr>
          <w:p>
            <w:pPr>
              <w:spacing w:after="0"/>
            </w:pPr>
            <w:r/>
            <w:r>
              <w:rPr>
                <w:b w:val="0"/>
              </w:rPr>
              <w:t>09:16</w:t>
            </w:r>
          </w:p>
        </w:tc>
        <w:tc>
          <w:tcPr>
            <w:tcW w:type="dxa" w:w="2520"/>
            <w:vAlign w:val="center"/>
          </w:tcPr>
          <w:p>
            <w:pPr>
              <w:spacing w:after="0"/>
            </w:pPr>
            <w:r/>
            <w:r>
              <w:rPr>
                <w:b w:val="0"/>
              </w:rPr>
              <w:t>Successful login for the same account from the same unfamiliar IP</w:t>
            </w:r>
          </w:p>
        </w:tc>
        <w:tc>
          <w:tcPr>
            <w:tcW w:type="dxa" w:w="2520"/>
            <w:vAlign w:val="center"/>
          </w:tcPr>
          <w:p>
            <w:pPr>
              <w:spacing w:after="0"/>
            </w:pPr>
            <w:r/>
            <w:r>
              <w:rPr>
                <w:b w:val="0"/>
              </w:rPr>
              <w:t>Increases concern that credentials may have been obtained or guessed</w:t>
            </w:r>
          </w:p>
        </w:tc>
        <w:tc>
          <w:tcPr>
            <w:tcW w:type="dxa" w:w="2520"/>
            <w:vAlign w:val="center"/>
          </w:tcPr>
          <w:p>
            <w:pPr>
              <w:spacing w:after="0"/>
            </w:pPr>
            <w:r/>
            <w:r>
              <w:rPr>
                <w:b w:val="0"/>
              </w:rPr>
              <w:t>Observed in scenario</w:t>
            </w:r>
          </w:p>
        </w:tc>
      </w:tr>
      <w:tr>
        <w:tc>
          <w:tcPr>
            <w:tcW w:type="dxa" w:w="2520"/>
            <w:vAlign w:val="center"/>
          </w:tcPr>
          <w:p>
            <w:pPr>
              <w:spacing w:after="0"/>
            </w:pPr>
            <w:r/>
            <w:r>
              <w:rPr>
                <w:b w:val="0"/>
              </w:rPr>
              <w:t>09:19</w:t>
            </w:r>
          </w:p>
        </w:tc>
        <w:tc>
          <w:tcPr>
            <w:tcW w:type="dxa" w:w="2520"/>
            <w:vAlign w:val="center"/>
          </w:tcPr>
          <w:p>
            <w:pPr>
              <w:spacing w:after="0"/>
            </w:pPr>
            <w:r/>
            <w:r>
              <w:rPr>
                <w:b w:val="0"/>
              </w:rPr>
              <w:t>AWS CloudTrail records an IAM policy change associated with the account or session</w:t>
            </w:r>
          </w:p>
        </w:tc>
        <w:tc>
          <w:tcPr>
            <w:tcW w:type="dxa" w:w="2520"/>
            <w:vAlign w:val="center"/>
          </w:tcPr>
          <w:p>
            <w:pPr>
              <w:spacing w:after="0"/>
            </w:pPr>
            <w:r/>
            <w:r>
              <w:rPr>
                <w:b w:val="0"/>
              </w:rPr>
              <w:t>Potential privilege abuse; authorization must be checked</w:t>
            </w:r>
          </w:p>
        </w:tc>
        <w:tc>
          <w:tcPr>
            <w:tcW w:type="dxa" w:w="2520"/>
            <w:vAlign w:val="center"/>
          </w:tcPr>
          <w:p>
            <w:pPr>
              <w:spacing w:after="0"/>
            </w:pPr>
            <w:r/>
            <w:r>
              <w:rPr>
                <w:b w:val="0"/>
              </w:rPr>
              <w:t>Observed; authorization later confirmed absent</w:t>
            </w:r>
          </w:p>
        </w:tc>
      </w:tr>
      <w:tr>
        <w:tc>
          <w:tcPr>
            <w:tcW w:type="dxa" w:w="2520"/>
            <w:vAlign w:val="center"/>
          </w:tcPr>
          <w:p>
            <w:pPr>
              <w:spacing w:after="0"/>
            </w:pPr>
            <w:r/>
            <w:r>
              <w:rPr>
                <w:b w:val="0"/>
              </w:rPr>
              <w:t>09:22</w:t>
            </w:r>
          </w:p>
        </w:tc>
        <w:tc>
          <w:tcPr>
            <w:tcW w:type="dxa" w:w="2520"/>
            <w:vAlign w:val="center"/>
          </w:tcPr>
          <w:p>
            <w:pPr>
              <w:spacing w:after="0"/>
            </w:pPr>
            <w:r/>
            <w:r>
              <w:rPr>
                <w:b w:val="0"/>
              </w:rPr>
              <w:t>Cloud access logs show access to sensitive data</w:t>
            </w:r>
          </w:p>
        </w:tc>
        <w:tc>
          <w:tcPr>
            <w:tcW w:type="dxa" w:w="2520"/>
            <w:vAlign w:val="center"/>
          </w:tcPr>
          <w:p>
            <w:pPr>
              <w:spacing w:after="0"/>
            </w:pPr>
            <w:r/>
            <w:r>
              <w:rPr>
                <w:b w:val="0"/>
              </w:rPr>
              <w:t>Potential impact; access does not by itself prove exfiltration</w:t>
            </w:r>
          </w:p>
        </w:tc>
        <w:tc>
          <w:tcPr>
            <w:tcW w:type="dxa" w:w="2520"/>
            <w:vAlign w:val="center"/>
          </w:tcPr>
          <w:p>
            <w:pPr>
              <w:spacing w:after="0"/>
            </w:pPr>
            <w:r/>
            <w:r>
              <w:rPr>
                <w:b w:val="0"/>
              </w:rPr>
              <w:t>Observed; scope unresolved</w:t>
            </w:r>
          </w:p>
        </w:tc>
      </w:tr>
      <w:tr>
        <w:tc>
          <w:tcPr>
            <w:tcW w:type="dxa" w:w="2520"/>
            <w:vAlign w:val="center"/>
          </w:tcPr>
          <w:p>
            <w:pPr>
              <w:spacing w:after="0"/>
            </w:pPr>
            <w:r/>
            <w:r>
              <w:rPr>
                <w:b w:val="0"/>
              </w:rPr>
              <w:t>After correlation</w:t>
            </w:r>
          </w:p>
        </w:tc>
        <w:tc>
          <w:tcPr>
            <w:tcW w:type="dxa" w:w="2520"/>
            <w:vAlign w:val="center"/>
          </w:tcPr>
          <w:p>
            <w:pPr>
              <w:spacing w:after="0"/>
            </w:pPr>
            <w:r/>
            <w:r>
              <w:rPr>
                <w:b w:val="0"/>
              </w:rPr>
              <w:t>Analyst raises priority, preserves evidence, and escalates</w:t>
            </w:r>
          </w:p>
        </w:tc>
        <w:tc>
          <w:tcPr>
            <w:tcW w:type="dxa" w:w="2520"/>
            <w:vAlign w:val="center"/>
          </w:tcPr>
          <w:p>
            <w:pPr>
              <w:spacing w:after="0"/>
            </w:pPr>
            <w:r/>
            <w:r>
              <w:rPr>
                <w:b w:val="0"/>
              </w:rPr>
              <w:t>Appropriate response to combined indicators</w:t>
            </w:r>
          </w:p>
        </w:tc>
        <w:tc>
          <w:tcPr>
            <w:tcW w:type="dxa" w:w="2520"/>
            <w:vAlign w:val="center"/>
          </w:tcPr>
          <w:p>
            <w:pPr>
              <w:spacing w:after="0"/>
            </w:pPr>
            <w:r/>
            <w:r>
              <w:rPr>
                <w:b w:val="0"/>
              </w:rPr>
              <w:t>Decision recorded in scenario</w:t>
            </w:r>
          </w:p>
        </w:tc>
      </w:tr>
      <w:tr>
        <w:tc>
          <w:tcPr>
            <w:tcW w:type="dxa" w:w="2520"/>
            <w:vAlign w:val="center"/>
          </w:tcPr>
          <w:p>
            <w:pPr>
              <w:spacing w:after="0"/>
            </w:pPr>
            <w:r/>
            <w:r>
              <w:rPr>
                <w:b w:val="0"/>
              </w:rPr>
              <w:t>Response phase</w:t>
            </w:r>
          </w:p>
        </w:tc>
        <w:tc>
          <w:tcPr>
            <w:tcW w:type="dxa" w:w="2520"/>
            <w:vAlign w:val="center"/>
          </w:tcPr>
          <w:p>
            <w:pPr>
              <w:spacing w:after="0"/>
            </w:pPr>
            <w:r/>
            <w:r>
              <w:rPr>
                <w:b w:val="0"/>
              </w:rPr>
              <w:t>Authorized containment is initiated; later scenario prompt states containment is verified</w:t>
            </w:r>
          </w:p>
        </w:tc>
        <w:tc>
          <w:tcPr>
            <w:tcW w:type="dxa" w:w="2520"/>
            <w:vAlign w:val="center"/>
          </w:tcPr>
          <w:p>
            <w:pPr>
              <w:spacing w:after="0"/>
            </w:pPr>
            <w:r/>
            <w:r>
              <w:rPr>
                <w:b w:val="0"/>
              </w:rPr>
              <w:t>Reduce further harm; continue impact assessment</w:t>
            </w:r>
          </w:p>
        </w:tc>
        <w:tc>
          <w:tcPr>
            <w:tcW w:type="dxa" w:w="2520"/>
            <w:vAlign w:val="center"/>
          </w:tcPr>
          <w:p>
            <w:pPr>
              <w:spacing w:after="0"/>
            </w:pPr>
            <w:r/>
            <w:r>
              <w:rPr>
                <w:b w:val="0"/>
              </w:rPr>
              <w:t>Training assumption; not a real action</w:t>
            </w:r>
          </w:p>
        </w:tc>
      </w:tr>
    </w:tbl>
    <w:p>
      <w:pPr>
        <w:spacing w:after="20"/>
      </w:pPr>
    </w:p>
    <w:p>
      <w:r>
        <w:t>Timeline caveat: In a real investigation, normalize timestamps to a consistent time zone and verify event ordering, clock skew, ingestion delays, and identity/session relationships.</w:t>
      </w:r>
    </w:p>
    <w:p>
      <w:pPr>
        <w:pStyle w:val="Heading1"/>
      </w:pPr>
      <w:r>
        <w:t>5. Detection and Triage Workflow</w:t>
      </w:r>
    </w:p>
    <w:p>
      <w:pPr>
        <w:pStyle w:val="Heading2"/>
      </w:pPr>
      <w:r>
        <w:t>5.1 Initial alert</w:t>
      </w:r>
    </w:p>
    <w:p>
      <w:r>
        <w:t>The SIEM generated an alert for twelve failed logins within five minutes for employee01. The analyst did not close the alert as routine activity and did not declare a confirmed breach based only on the failures.</w:t>
      </w:r>
    </w:p>
    <w:p>
      <w:pPr>
        <w:pStyle w:val="Heading2"/>
      </w:pPr>
      <w:r>
        <w:t>5.2 Validation</w:t>
      </w:r>
    </w:p>
    <w:p>
      <w:pPr>
        <w:pStyle w:val="ListBullet"/>
        <w:spacing w:after="40"/>
      </w:pPr>
      <w:r>
        <w:t>Confirm that the relevant authentication events exist in the source logs and that the alert rule fired as configured.</w:t>
      </w:r>
    </w:p>
    <w:p>
      <w:pPr>
        <w:pStyle w:val="ListBullet"/>
        <w:spacing w:after="40"/>
      </w:pPr>
      <w:r>
        <w:t>Check timestamps, account identity, source IP, event outcomes, and whether parsing or ingestion errors could affect the result.</w:t>
      </w:r>
    </w:p>
    <w:p>
      <w:pPr>
        <w:pStyle w:val="ListBullet"/>
        <w:spacing w:after="40"/>
      </w:pPr>
      <w:r>
        <w:t>Review whether similar activity occurred for other accounts or systems.</w:t>
      </w:r>
    </w:p>
    <w:p>
      <w:pPr>
        <w:pStyle w:val="ListBullet"/>
        <w:spacing w:after="40"/>
      </w:pPr>
      <w:r>
        <w:t>Document the evidence checked, findings, gaps, and rationale for the next action.</w:t>
      </w:r>
    </w:p>
    <w:p>
      <w:pPr>
        <w:pStyle w:val="Heading2"/>
      </w:pPr>
      <w:r>
        <w:t>5.3 Correlation and prioritization</w:t>
      </w:r>
    </w:p>
    <w:p>
      <w:r>
        <w:t>The successful login, IAM policy change, and sensitive-data access made the combined sequence more concerning than the failed-login alert alone. The analyst correlated events by identity, session/principal where available, source IP, timestamps, and relevant AWS request details. The case was raised to high priority for this exercise because of potential unauthorized access, privilege change, and sensitive-data impact.</w:t>
      </w:r>
    </w:p>
    <w:p>
      <w:pPr>
        <w:pStyle w:val="Heading2"/>
      </w:pPr>
      <w:r>
        <w:t>5.4 Escalation</w:t>
      </w:r>
    </w:p>
    <w:p>
      <w:r>
        <w:t>Tier 1 records initial findings and escalates to Tier 2 or the incident-response team according to the organization's process. Tier 2 conducts deeper investigation and coordinates response with cloud administrators, identity owners, data owners, and other stakeholders as needed. Tier names and responsibilities differ between organizations.</w:t>
      </w:r>
    </w:p>
    <w:p>
      <w:pPr>
        <w:pStyle w:val="Heading1"/>
      </w:pPr>
      <w:r>
        <w:t>6. Log Analysis and Evidence Handling (Module 16)</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4476B"/>
          </w:tcPr>
          <w:p>
            <w:pPr>
              <w:spacing w:after="0"/>
            </w:pPr>
            <w:r/>
            <w:r>
              <w:rPr>
                <w:b/>
                <w:color w:val="FFFFFF"/>
              </w:rPr>
              <w:t>Log source</w:t>
            </w:r>
          </w:p>
        </w:tc>
        <w:tc>
          <w:tcPr>
            <w:tcW w:type="dxa" w:w="3360"/>
            <w:vAlign w:val="center"/>
            <w:shd w:fill="24476B"/>
          </w:tcPr>
          <w:p>
            <w:pPr>
              <w:spacing w:after="0"/>
            </w:pPr>
            <w:r/>
            <w:r>
              <w:rPr>
                <w:b/>
                <w:color w:val="FFFFFF"/>
              </w:rPr>
              <w:t>What to examine</w:t>
            </w:r>
          </w:p>
        </w:tc>
        <w:tc>
          <w:tcPr>
            <w:tcW w:type="dxa" w:w="3360"/>
            <w:vAlign w:val="center"/>
            <w:shd w:fill="24476B"/>
          </w:tcPr>
          <w:p>
            <w:pPr>
              <w:spacing w:after="0"/>
            </w:pPr>
            <w:r/>
            <w:r>
              <w:rPr>
                <w:b/>
                <w:color w:val="FFFFFF"/>
              </w:rPr>
              <w:t>Why it matters</w:t>
            </w:r>
          </w:p>
        </w:tc>
      </w:tr>
      <w:tr>
        <w:tc>
          <w:tcPr>
            <w:tcW w:type="dxa" w:w="3360"/>
            <w:vAlign w:val="center"/>
          </w:tcPr>
          <w:p>
            <w:pPr>
              <w:spacing w:after="0"/>
            </w:pPr>
            <w:r/>
            <w:r>
              <w:rPr>
                <w:b w:val="0"/>
              </w:rPr>
              <w:t>Authentication server / identity provider</w:t>
            </w:r>
          </w:p>
        </w:tc>
        <w:tc>
          <w:tcPr>
            <w:tcW w:type="dxa" w:w="3360"/>
            <w:vAlign w:val="center"/>
          </w:tcPr>
          <w:p>
            <w:pPr>
              <w:spacing w:after="0"/>
            </w:pPr>
            <w:r/>
            <w:r>
              <w:rPr>
                <w:b w:val="0"/>
              </w:rPr>
              <w:t>Failed and successful logins, MFA results, client/source IP, user agent/device where available, session issuance, password/MFA changes</w:t>
            </w:r>
          </w:p>
        </w:tc>
        <w:tc>
          <w:tcPr>
            <w:tcW w:type="dxa" w:w="3360"/>
            <w:vAlign w:val="center"/>
          </w:tcPr>
          <w:p>
            <w:pPr>
              <w:spacing w:after="0"/>
            </w:pPr>
            <w:r/>
            <w:r>
              <w:rPr>
                <w:b w:val="0"/>
              </w:rPr>
              <w:t>Establish account activity and possible initial access</w:t>
            </w:r>
          </w:p>
        </w:tc>
      </w:tr>
      <w:tr>
        <w:tc>
          <w:tcPr>
            <w:tcW w:type="dxa" w:w="3360"/>
            <w:vAlign w:val="center"/>
          </w:tcPr>
          <w:p>
            <w:pPr>
              <w:spacing w:after="0"/>
            </w:pPr>
            <w:r/>
            <w:r>
              <w:rPr>
                <w:b w:val="0"/>
              </w:rPr>
              <w:t>AWS CloudTrail</w:t>
            </w:r>
          </w:p>
        </w:tc>
        <w:tc>
          <w:tcPr>
            <w:tcW w:type="dxa" w:w="3360"/>
            <w:vAlign w:val="center"/>
          </w:tcPr>
          <w:p>
            <w:pPr>
              <w:spacing w:after="0"/>
            </w:pPr>
            <w:r/>
            <w:r>
              <w:rPr>
                <w:b w:val="0"/>
              </w:rPr>
              <w:t>Principal/session identity, event name, event time, source IP, request parameters, policy changes, error/result details</w:t>
            </w:r>
          </w:p>
        </w:tc>
        <w:tc>
          <w:tcPr>
            <w:tcW w:type="dxa" w:w="3360"/>
            <w:vAlign w:val="center"/>
          </w:tcPr>
          <w:p>
            <w:pPr>
              <w:spacing w:after="0"/>
            </w:pPr>
            <w:r/>
            <w:r>
              <w:rPr>
                <w:b w:val="0"/>
              </w:rPr>
              <w:t>Identify the actor/session and exact cloud control-plane action</w:t>
            </w:r>
          </w:p>
        </w:tc>
      </w:tr>
      <w:tr>
        <w:tc>
          <w:tcPr>
            <w:tcW w:type="dxa" w:w="3360"/>
            <w:vAlign w:val="center"/>
          </w:tcPr>
          <w:p>
            <w:pPr>
              <w:spacing w:after="0"/>
            </w:pPr>
            <w:r/>
            <w:r>
              <w:rPr>
                <w:b w:val="0"/>
              </w:rPr>
              <w:t>Cloud data-access logs</w:t>
            </w:r>
          </w:p>
        </w:tc>
        <w:tc>
          <w:tcPr>
            <w:tcW w:type="dxa" w:w="3360"/>
            <w:vAlign w:val="center"/>
          </w:tcPr>
          <w:p>
            <w:pPr>
              <w:spacing w:after="0"/>
            </w:pPr>
            <w:r/>
            <w:r>
              <w:rPr>
                <w:b w:val="0"/>
              </w:rPr>
              <w:t>Resource accessed, operation, identity, time, volume/size where available, destination/transfer evidence</w:t>
            </w:r>
          </w:p>
        </w:tc>
        <w:tc>
          <w:tcPr>
            <w:tcW w:type="dxa" w:w="3360"/>
            <w:vAlign w:val="center"/>
          </w:tcPr>
          <w:p>
            <w:pPr>
              <w:spacing w:after="0"/>
            </w:pPr>
            <w:r/>
            <w:r>
              <w:rPr>
                <w:b w:val="0"/>
              </w:rPr>
              <w:t>Determine the scope of access and whether transfer/exfiltration is supported by evidence</w:t>
            </w:r>
          </w:p>
        </w:tc>
      </w:tr>
      <w:tr>
        <w:tc>
          <w:tcPr>
            <w:tcW w:type="dxa" w:w="3360"/>
            <w:vAlign w:val="center"/>
          </w:tcPr>
          <w:p>
            <w:pPr>
              <w:spacing w:after="0"/>
            </w:pPr>
            <w:r/>
            <w:r>
              <w:rPr>
                <w:b w:val="0"/>
              </w:rPr>
              <w:t>Endpoint / EDR logs, if available</w:t>
            </w:r>
          </w:p>
        </w:tc>
        <w:tc>
          <w:tcPr>
            <w:tcW w:type="dxa" w:w="3360"/>
            <w:vAlign w:val="center"/>
          </w:tcPr>
          <w:p>
            <w:pPr>
              <w:spacing w:after="0"/>
            </w:pPr>
            <w:r/>
            <w:r>
              <w:rPr>
                <w:b w:val="0"/>
              </w:rPr>
              <w:t>Process execution, credential theft indicators, persistence, network connections</w:t>
            </w:r>
          </w:p>
        </w:tc>
        <w:tc>
          <w:tcPr>
            <w:tcW w:type="dxa" w:w="3360"/>
            <w:vAlign w:val="center"/>
          </w:tcPr>
          <w:p>
            <w:pPr>
              <w:spacing w:after="0"/>
            </w:pPr>
            <w:r/>
            <w:r>
              <w:rPr>
                <w:b w:val="0"/>
              </w:rPr>
              <w:t>Investigate possible endpoint-based initial access or persistence</w:t>
            </w:r>
          </w:p>
        </w:tc>
      </w:tr>
      <w:tr>
        <w:tc>
          <w:tcPr>
            <w:tcW w:type="dxa" w:w="3360"/>
            <w:vAlign w:val="center"/>
          </w:tcPr>
          <w:p>
            <w:pPr>
              <w:spacing w:after="0"/>
            </w:pPr>
            <w:r/>
            <w:r>
              <w:rPr>
                <w:b w:val="0"/>
              </w:rPr>
              <w:t>Firewall / network logs, if available</w:t>
            </w:r>
          </w:p>
        </w:tc>
        <w:tc>
          <w:tcPr>
            <w:tcW w:type="dxa" w:w="3360"/>
            <w:vAlign w:val="center"/>
          </w:tcPr>
          <w:p>
            <w:pPr>
              <w:spacing w:after="0"/>
            </w:pPr>
            <w:r/>
            <w:r>
              <w:rPr>
                <w:b w:val="0"/>
              </w:rPr>
              <w:t>Connections, destination, bytes transferred, unusual egress</w:t>
            </w:r>
          </w:p>
        </w:tc>
        <w:tc>
          <w:tcPr>
            <w:tcW w:type="dxa" w:w="3360"/>
            <w:vAlign w:val="center"/>
          </w:tcPr>
          <w:p>
            <w:pPr>
              <w:spacing w:after="0"/>
            </w:pPr>
            <w:r/>
            <w:r>
              <w:rPr>
                <w:b w:val="0"/>
              </w:rPr>
              <w:t>Help assess network activity and possible data movement</w:t>
            </w:r>
          </w:p>
        </w:tc>
      </w:tr>
    </w:tbl>
    <w:p>
      <w:pPr>
        <w:spacing w:after="20"/>
      </w:pPr>
    </w:p>
    <w:p>
      <w:pPr>
        <w:pStyle w:val="Heading2"/>
      </w:pPr>
      <w:r>
        <w:t>6.1 IOC and behavior assessment</w:t>
      </w:r>
    </w:p>
    <w:p>
      <w:pPr>
        <w:pStyle w:val="ListBullet"/>
        <w:spacing w:after="40"/>
      </w:pPr>
      <w:r>
        <w:t>Potential indicators: the unfamiliar source IP, repeated failed logins, a successful login following failures, an unauthorized IAM policy change, and unusual sensitive-data access.</w:t>
      </w:r>
    </w:p>
    <w:p>
      <w:pPr>
        <w:pStyle w:val="ListBullet"/>
        <w:spacing w:after="40"/>
      </w:pPr>
      <w:r>
        <w:t>These indicators require context. An unfamiliar IP or failed login alone is not proof of compromise.</w:t>
      </w:r>
    </w:p>
    <w:p>
      <w:pPr>
        <w:pStyle w:val="ListBullet"/>
        <w:spacing w:after="40"/>
      </w:pPr>
      <w:r>
        <w:t>The sequence is a suspicious attack pattern: repeated failures → successful login → unauthorized IAM change → sensitive-data access.</w:t>
      </w:r>
    </w:p>
    <w:p>
      <w:pPr>
        <w:pStyle w:val="ListBullet"/>
        <w:spacing w:after="40"/>
      </w:pPr>
      <w:r>
        <w:t>Do not claim data theft solely because data was accessed. Seek supporting data-transfer, object-access, network-egress, or application evidence.</w:t>
      </w:r>
    </w:p>
    <w:p>
      <w:pPr>
        <w:pStyle w:val="Heading2"/>
      </w:pPr>
      <w:r>
        <w:t>6.2 Evidence preservation</w:t>
      </w:r>
    </w:p>
    <w:p>
      <w:pPr>
        <w:pStyle w:val="ListBullet"/>
        <w:spacing w:after="40"/>
      </w:pPr>
      <w:r>
        <w:t>Preserve original relevant logs and retain their source, collection time, and time zone.</w:t>
      </w:r>
    </w:p>
    <w:p>
      <w:pPr>
        <w:pStyle w:val="ListBullet"/>
        <w:spacing w:after="40"/>
      </w:pPr>
      <w:r>
        <w:t>Capture the IAM policy before/after state or version information where available.</w:t>
      </w:r>
    </w:p>
    <w:p>
      <w:pPr>
        <w:pStyle w:val="ListBullet"/>
        <w:spacing w:after="40"/>
      </w:pPr>
      <w:r>
        <w:t>Record relevant AWS principal/session identifiers, event IDs, request IDs, resource names, and query details.</w:t>
      </w:r>
    </w:p>
    <w:p>
      <w:pPr>
        <w:pStyle w:val="ListBullet"/>
        <w:spacing w:after="40"/>
      </w:pPr>
      <w:r>
        <w:t>Maintain case notes documenting who performed each action and when.</w:t>
      </w:r>
    </w:p>
    <w:p>
      <w:pPr>
        <w:pStyle w:val="ListBullet"/>
        <w:spacing w:after="40"/>
      </w:pPr>
      <w:r>
        <w:t>Follow the organization's retention, access-control, integrity, and chain-of-custody requirements.</w:t>
      </w:r>
    </w:p>
    <w:p>
      <w:pPr>
        <w:pStyle w:val="Heading1"/>
      </w:pPr>
      <w:r>
        <w:t>7. SIEM Engineering and Correlation (Module 17)</w:t>
      </w:r>
    </w:p>
    <w:p>
      <w:pPr>
        <w:pStyle w:val="Heading2"/>
      </w:pPr>
      <w:r>
        <w:t>7.1 SIEM pipeline</w:t>
      </w:r>
    </w:p>
    <w:p>
      <w:r>
        <w:t>Collection → ingestion → parsing → normalization → storage/indexing → correlation → alert generation → analyst investigation.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4476B"/>
          </w:tcPr>
          <w:p>
            <w:pPr>
              <w:spacing w:after="0"/>
            </w:pPr>
            <w:r/>
            <w:r>
              <w:rPr>
                <w:b/>
                <w:color w:val="FFFFFF"/>
              </w:rPr>
              <w:t>Stage</w:t>
            </w:r>
          </w:p>
        </w:tc>
        <w:tc>
          <w:tcPr>
            <w:tcW w:type="dxa" w:w="5040"/>
            <w:vAlign w:val="center"/>
            <w:shd w:fill="24476B"/>
          </w:tcPr>
          <w:p>
            <w:pPr>
              <w:spacing w:after="0"/>
            </w:pPr>
            <w:r/>
            <w:r>
              <w:rPr>
                <w:b/>
                <w:color w:val="FFFFFF"/>
              </w:rPr>
              <w:t>Application to IR-2026-001</w:t>
            </w:r>
          </w:p>
        </w:tc>
      </w:tr>
      <w:tr>
        <w:tc>
          <w:tcPr>
            <w:tcW w:type="dxa" w:w="5040"/>
            <w:vAlign w:val="center"/>
          </w:tcPr>
          <w:p>
            <w:pPr>
              <w:spacing w:after="0"/>
            </w:pPr>
            <w:r/>
            <w:r>
              <w:rPr>
                <w:b w:val="0"/>
              </w:rPr>
              <w:t>Collection</w:t>
            </w:r>
          </w:p>
        </w:tc>
        <w:tc>
          <w:tcPr>
            <w:tcW w:type="dxa" w:w="5040"/>
            <w:vAlign w:val="center"/>
          </w:tcPr>
          <w:p>
            <w:pPr>
              <w:spacing w:after="0"/>
            </w:pPr>
            <w:r/>
            <w:r>
              <w:rPr>
                <w:b w:val="0"/>
              </w:rPr>
              <w:t>Collect authentication, CloudTrail, and cloud data-access events.</w:t>
            </w:r>
          </w:p>
        </w:tc>
      </w:tr>
      <w:tr>
        <w:tc>
          <w:tcPr>
            <w:tcW w:type="dxa" w:w="5040"/>
            <w:vAlign w:val="center"/>
          </w:tcPr>
          <w:p>
            <w:pPr>
              <w:spacing w:after="0"/>
            </w:pPr>
            <w:r/>
            <w:r>
              <w:rPr>
                <w:b w:val="0"/>
              </w:rPr>
              <w:t>Ingestion</w:t>
            </w:r>
          </w:p>
        </w:tc>
        <w:tc>
          <w:tcPr>
            <w:tcW w:type="dxa" w:w="5040"/>
            <w:vAlign w:val="center"/>
          </w:tcPr>
          <w:p>
            <w:pPr>
              <w:spacing w:after="0"/>
            </w:pPr>
            <w:r/>
            <w:r>
              <w:rPr>
                <w:b w:val="0"/>
              </w:rPr>
              <w:t>Send events into the SIEM through configured collectors or integrations.</w:t>
            </w:r>
          </w:p>
        </w:tc>
      </w:tr>
      <w:tr>
        <w:tc>
          <w:tcPr>
            <w:tcW w:type="dxa" w:w="5040"/>
            <w:vAlign w:val="center"/>
          </w:tcPr>
          <w:p>
            <w:pPr>
              <w:spacing w:after="0"/>
            </w:pPr>
            <w:r/>
            <w:r>
              <w:rPr>
                <w:b w:val="0"/>
              </w:rPr>
              <w:t>Parsing</w:t>
            </w:r>
          </w:p>
        </w:tc>
        <w:tc>
          <w:tcPr>
            <w:tcW w:type="dxa" w:w="5040"/>
            <w:vAlign w:val="center"/>
          </w:tcPr>
          <w:p>
            <w:pPr>
              <w:spacing w:after="0"/>
            </w:pPr>
            <w:r/>
            <w:r>
              <w:rPr>
                <w:b w:val="0"/>
              </w:rPr>
              <w:t>Extract timestamp, account/user, source IP, action/event name, result, resource, and session/principal fields.</w:t>
            </w:r>
          </w:p>
        </w:tc>
      </w:tr>
      <w:tr>
        <w:tc>
          <w:tcPr>
            <w:tcW w:type="dxa" w:w="5040"/>
            <w:vAlign w:val="center"/>
          </w:tcPr>
          <w:p>
            <w:pPr>
              <w:spacing w:after="0"/>
            </w:pPr>
            <w:r/>
            <w:r>
              <w:rPr>
                <w:b w:val="0"/>
              </w:rPr>
              <w:t>Normalization</w:t>
            </w:r>
          </w:p>
        </w:tc>
        <w:tc>
          <w:tcPr>
            <w:tcW w:type="dxa" w:w="5040"/>
            <w:vAlign w:val="center"/>
          </w:tcPr>
          <w:p>
            <w:pPr>
              <w:spacing w:after="0"/>
            </w:pPr>
            <w:r/>
            <w:r>
              <w:rPr>
                <w:b w:val="0"/>
              </w:rPr>
              <w:t>Map vendor-specific fields to a consistent schema; resolve identity fields carefully.</w:t>
            </w:r>
          </w:p>
        </w:tc>
      </w:tr>
      <w:tr>
        <w:tc>
          <w:tcPr>
            <w:tcW w:type="dxa" w:w="5040"/>
            <w:vAlign w:val="center"/>
          </w:tcPr>
          <w:p>
            <w:pPr>
              <w:spacing w:after="0"/>
            </w:pPr>
            <w:r/>
            <w:r>
              <w:rPr>
                <w:b w:val="0"/>
              </w:rPr>
              <w:t>Storage/indexing</w:t>
            </w:r>
          </w:p>
        </w:tc>
        <w:tc>
          <w:tcPr>
            <w:tcW w:type="dxa" w:w="5040"/>
            <w:vAlign w:val="center"/>
          </w:tcPr>
          <w:p>
            <w:pPr>
              <w:spacing w:after="0"/>
            </w:pPr>
            <w:r/>
            <w:r>
              <w:rPr>
                <w:b w:val="0"/>
              </w:rPr>
              <w:t>Make events searchable for investigation and timeline reconstruction.</w:t>
            </w:r>
          </w:p>
        </w:tc>
      </w:tr>
      <w:tr>
        <w:tc>
          <w:tcPr>
            <w:tcW w:type="dxa" w:w="5040"/>
            <w:vAlign w:val="center"/>
          </w:tcPr>
          <w:p>
            <w:pPr>
              <w:spacing w:after="0"/>
            </w:pPr>
            <w:r/>
            <w:r>
              <w:rPr>
                <w:b w:val="0"/>
              </w:rPr>
              <w:t>Correlation</w:t>
            </w:r>
          </w:p>
        </w:tc>
        <w:tc>
          <w:tcPr>
            <w:tcW w:type="dxa" w:w="5040"/>
            <w:vAlign w:val="center"/>
          </w:tcPr>
          <w:p>
            <w:pPr>
              <w:spacing w:after="0"/>
            </w:pPr>
            <w:r/>
            <w:r>
              <w:rPr>
                <w:b w:val="0"/>
              </w:rPr>
              <w:t>Connect failed logins, successful authentication, IAM modification, and sensitive-data access.</w:t>
            </w:r>
          </w:p>
        </w:tc>
      </w:tr>
      <w:tr>
        <w:tc>
          <w:tcPr>
            <w:tcW w:type="dxa" w:w="5040"/>
            <w:vAlign w:val="center"/>
          </w:tcPr>
          <w:p>
            <w:pPr>
              <w:spacing w:after="0"/>
            </w:pPr>
            <w:r/>
            <w:r>
              <w:rPr>
                <w:b w:val="0"/>
              </w:rPr>
              <w:t>Alerting</w:t>
            </w:r>
          </w:p>
        </w:tc>
        <w:tc>
          <w:tcPr>
            <w:tcW w:type="dxa" w:w="5040"/>
            <w:vAlign w:val="center"/>
          </w:tcPr>
          <w:p>
            <w:pPr>
              <w:spacing w:after="0"/>
            </w:pPr>
            <w:r/>
            <w:r>
              <w:rPr>
                <w:b w:val="0"/>
              </w:rPr>
              <w:t>Generate a higher-priority alert when conditions and context indicate elevated risk.</w:t>
            </w:r>
          </w:p>
        </w:tc>
      </w:tr>
      <w:tr>
        <w:tc>
          <w:tcPr>
            <w:tcW w:type="dxa" w:w="5040"/>
            <w:vAlign w:val="center"/>
          </w:tcPr>
          <w:p>
            <w:pPr>
              <w:spacing w:after="0"/>
            </w:pPr>
            <w:r/>
            <w:r>
              <w:rPr>
                <w:b w:val="0"/>
              </w:rPr>
              <w:t>Investigation</w:t>
            </w:r>
          </w:p>
        </w:tc>
        <w:tc>
          <w:tcPr>
            <w:tcW w:type="dxa" w:w="5040"/>
            <w:vAlign w:val="center"/>
          </w:tcPr>
          <w:p>
            <w:pPr>
              <w:spacing w:after="0"/>
            </w:pPr>
            <w:r/>
            <w:r>
              <w:rPr>
                <w:b w:val="0"/>
              </w:rPr>
              <w:t>Analyst validates the alert, reviews supporting events, documents findings, and escalates.</w:t>
            </w:r>
          </w:p>
        </w:tc>
      </w:tr>
    </w:tbl>
    <w:p>
      <w:pPr>
        <w:spacing w:after="20"/>
      </w:pPr>
    </w:p>
    <w:p>
      <w:pPr>
        <w:pStyle w:val="Heading2"/>
      </w:pPr>
      <w:r>
        <w:t>7.2 Illustrative detection logic</w:t>
      </w:r>
    </w:p>
    <w:p>
      <w:r>
        <w:t>Conceptual rule (not production-ready query): If repeated failed authentication attempts for an identity are followed by a successful login, and the same verified identity/session makes an unauthorized IAM policy change, raise a high-priority alert. Enrich the alert with subsequent sensitive-data access and asset/data sensitivity.</w:t>
      </w:r>
    </w:p>
    <w:p>
      <w:pPr>
        <w:pStyle w:val="ListBullet"/>
        <w:spacing w:after="40"/>
      </w:pPr>
      <w:r>
        <w:t>Correlate by stable identity and verified session/principal where possible; do not rely on source IP alone.</w:t>
      </w:r>
    </w:p>
    <w:p>
      <w:pPr>
        <w:pStyle w:val="ListBullet"/>
        <w:spacing w:after="40"/>
      </w:pPr>
      <w:r>
        <w:t>Account for event delays, timestamp differences, identity aliases, and missing fields.</w:t>
      </w:r>
    </w:p>
    <w:p>
      <w:pPr>
        <w:pStyle w:val="ListBullet"/>
        <w:spacing w:after="40"/>
      </w:pPr>
      <w:r>
        <w:t>Test the rule against malicious simulations and legitimate administrative changes.</w:t>
      </w:r>
    </w:p>
    <w:p>
      <w:pPr>
        <w:pStyle w:val="ListBullet"/>
        <w:spacing w:after="40"/>
      </w:pPr>
      <w:r>
        <w:t>Tune false positives carefully; disabling logging or suppressing broad categories can create blind spots.</w:t>
      </w:r>
    </w:p>
    <w:p>
      <w:pPr>
        <w:pStyle w:val="Heading2"/>
      </w:pPr>
      <w:r>
        <w:t>7.3 Platform mapping</w:t>
      </w:r>
    </w:p>
    <w:p>
      <w:pPr>
        <w:pStyle w:val="ListBullet"/>
        <w:spacing w:after="40"/>
      </w:pPr>
      <w:r>
        <w:t>Splunk: use SPL to search, filter, aggregate, correlate, and build alerts/reports.</w:t>
      </w:r>
    </w:p>
    <w:p>
      <w:pPr>
        <w:pStyle w:val="ListBullet"/>
        <w:spacing w:after="40"/>
      </w:pPr>
      <w:r>
        <w:t>ELK: Logstash processes/transforms events; Elasticsearch indexes and searches them; Kibana supports exploration and dashboards.</w:t>
      </w:r>
    </w:p>
    <w:p>
      <w:pPr>
        <w:pStyle w:val="ListBullet"/>
        <w:spacing w:after="40"/>
      </w:pPr>
      <w:r>
        <w:t>AWS CloudTrail records AWS API activity; GuardDuty provides security findings; Azure Activity Logs provide Azure control-plane activity. These sources are not interchangeable and each has its own scope.</w:t>
      </w:r>
    </w:p>
    <w:p>
      <w:pPr>
        <w:pStyle w:val="Heading1"/>
      </w:pPr>
      <w:r>
        <w:t>8. SOC Operations, Severity, and Metrics (Module 18)</w:t>
      </w:r>
    </w:p>
    <w:p>
      <w:pPr>
        <w:pStyle w:val="Heading2"/>
      </w:pPr>
      <w:r>
        <w:t>8.1 Triage decision</w:t>
      </w:r>
    </w:p>
    <w:p>
      <w:r>
        <w:t>The analyst increased priority because several related signals suggested possible account compromise and privilege abuse, with potential sensitive-data impact. The training case uses a high-priority label; actual severity must be set using the organization's severity matrix, asset criticality, data classification, business impact, and confidence.</w:t>
      </w:r>
    </w:p>
    <w:p>
      <w:pPr>
        <w:pStyle w:val="Heading2"/>
      </w:pPr>
      <w:r>
        <w:t>8.2 Severity vs priority</w:t>
      </w:r>
    </w:p>
    <w:p>
      <w:r>
        <w:t>Severity describes the seriousness of the security impact; priority describes how urgently work should be handled, often considering severity, urgency, and business context. Organizations may define or combine these terms differently.</w:t>
      </w:r>
    </w:p>
    <w:p>
      <w:pPr>
        <w:pStyle w:val="Heading2"/>
      </w:pPr>
      <w:r>
        <w:t>8.3 Metrics to record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4476B"/>
          </w:tcPr>
          <w:p>
            <w:pPr>
              <w:spacing w:after="0"/>
            </w:pPr>
            <w:r/>
            <w:r>
              <w:rPr>
                <w:b/>
                <w:color w:val="FFFFFF"/>
              </w:rPr>
              <w:t>Metric</w:t>
            </w:r>
          </w:p>
        </w:tc>
        <w:tc>
          <w:tcPr>
            <w:tcW w:type="dxa" w:w="3360"/>
            <w:vAlign w:val="center"/>
            <w:shd w:fill="24476B"/>
          </w:tcPr>
          <w:p>
            <w:pPr>
              <w:spacing w:after="0"/>
            </w:pPr>
            <w:r/>
            <w:r>
              <w:rPr>
                <w:b/>
                <w:color w:val="FFFFFF"/>
              </w:rPr>
              <w:t>Meaning</w:t>
            </w:r>
          </w:p>
        </w:tc>
        <w:tc>
          <w:tcPr>
            <w:tcW w:type="dxa" w:w="3360"/>
            <w:vAlign w:val="center"/>
            <w:shd w:fill="24476B"/>
          </w:tcPr>
          <w:p>
            <w:pPr>
              <w:spacing w:after="0"/>
            </w:pPr>
            <w:r/>
            <w:r>
              <w:rPr>
                <w:b/>
                <w:color w:val="FFFFFF"/>
              </w:rPr>
              <w:t>Case-specific note</w:t>
            </w:r>
          </w:p>
        </w:tc>
      </w:tr>
      <w:tr>
        <w:tc>
          <w:tcPr>
            <w:tcW w:type="dxa" w:w="3360"/>
            <w:vAlign w:val="center"/>
          </w:tcPr>
          <w:p>
            <w:pPr>
              <w:spacing w:after="0"/>
            </w:pPr>
            <w:r/>
            <w:r>
              <w:rPr>
                <w:b w:val="0"/>
              </w:rPr>
              <w:t>MTTD</w:t>
            </w:r>
          </w:p>
        </w:tc>
        <w:tc>
          <w:tcPr>
            <w:tcW w:type="dxa" w:w="3360"/>
            <w:vAlign w:val="center"/>
          </w:tcPr>
          <w:p>
            <w:pPr>
              <w:spacing w:after="0"/>
            </w:pPr>
            <w:r/>
            <w:r>
              <w:rPr>
                <w:b w:val="0"/>
              </w:rPr>
              <w:t>Mean time to detect</w:t>
            </w:r>
          </w:p>
        </w:tc>
        <w:tc>
          <w:tcPr>
            <w:tcW w:type="dxa" w:w="3360"/>
            <w:vAlign w:val="center"/>
          </w:tcPr>
          <w:p>
            <w:pPr>
              <w:spacing w:after="0"/>
            </w:pPr>
            <w:r/>
            <w:r>
              <w:rPr>
                <w:b w:val="0"/>
              </w:rPr>
              <w:t>Cannot be calculated reliably without the attack start time and detection timestamp.</w:t>
            </w:r>
          </w:p>
        </w:tc>
      </w:tr>
      <w:tr>
        <w:tc>
          <w:tcPr>
            <w:tcW w:type="dxa" w:w="3360"/>
            <w:vAlign w:val="center"/>
          </w:tcPr>
          <w:p>
            <w:pPr>
              <w:spacing w:after="0"/>
            </w:pPr>
            <w:r/>
            <w:r>
              <w:rPr>
                <w:b w:val="0"/>
              </w:rPr>
              <w:t>MTTR</w:t>
            </w:r>
          </w:p>
        </w:tc>
        <w:tc>
          <w:tcPr>
            <w:tcW w:type="dxa" w:w="3360"/>
            <w:vAlign w:val="center"/>
          </w:tcPr>
          <w:p>
            <w:pPr>
              <w:spacing w:after="0"/>
            </w:pPr>
            <w:r/>
            <w:r>
              <w:rPr>
                <w:b w:val="0"/>
              </w:rPr>
              <w:t>Mean time to respond/remediate, depending on policy</w:t>
            </w:r>
          </w:p>
        </w:tc>
        <w:tc>
          <w:tcPr>
            <w:tcW w:type="dxa" w:w="3360"/>
            <w:vAlign w:val="center"/>
          </w:tcPr>
          <w:p>
            <w:pPr>
              <w:spacing w:after="0"/>
            </w:pPr>
            <w:r/>
            <w:r>
              <w:rPr>
                <w:b w:val="0"/>
              </w:rPr>
              <w:t>Record alert, escalation, containment, and recovery milestones; use the organization's exact endpoint definition.</w:t>
            </w:r>
          </w:p>
        </w:tc>
      </w:tr>
      <w:tr>
        <w:tc>
          <w:tcPr>
            <w:tcW w:type="dxa" w:w="3360"/>
            <w:vAlign w:val="center"/>
          </w:tcPr>
          <w:p>
            <w:pPr>
              <w:spacing w:after="0"/>
            </w:pPr>
            <w:r/>
            <w:r>
              <w:rPr>
                <w:b w:val="0"/>
              </w:rPr>
              <w:t>Incident volume</w:t>
            </w:r>
          </w:p>
        </w:tc>
        <w:tc>
          <w:tcPr>
            <w:tcW w:type="dxa" w:w="3360"/>
            <w:vAlign w:val="center"/>
          </w:tcPr>
          <w:p>
            <w:pPr>
              <w:spacing w:after="0"/>
            </w:pPr>
            <w:r/>
            <w:r>
              <w:rPr>
                <w:b w:val="0"/>
              </w:rPr>
              <w:t>Number of incidents over a defined period</w:t>
            </w:r>
          </w:p>
        </w:tc>
        <w:tc>
          <w:tcPr>
            <w:tcW w:type="dxa" w:w="3360"/>
            <w:vAlign w:val="center"/>
          </w:tcPr>
          <w:p>
            <w:pPr>
              <w:spacing w:after="0"/>
            </w:pPr>
            <w:r/>
            <w:r>
              <w:rPr>
                <w:b w:val="0"/>
              </w:rPr>
              <w:t>Useful for SOC workload reporting, not a direct measure of incident severity.</w:t>
            </w:r>
          </w:p>
        </w:tc>
      </w:tr>
      <w:tr>
        <w:tc>
          <w:tcPr>
            <w:tcW w:type="dxa" w:w="3360"/>
            <w:vAlign w:val="center"/>
          </w:tcPr>
          <w:p>
            <w:pPr>
              <w:spacing w:after="0"/>
            </w:pPr>
            <w:r/>
            <w:r>
              <w:rPr>
                <w:b w:val="0"/>
              </w:rPr>
              <w:t>Detection effectiveness</w:t>
            </w:r>
          </w:p>
        </w:tc>
        <w:tc>
          <w:tcPr>
            <w:tcW w:type="dxa" w:w="3360"/>
            <w:vAlign w:val="center"/>
          </w:tcPr>
          <w:p>
            <w:pPr>
              <w:spacing w:after="0"/>
            </w:pPr>
            <w:r/>
            <w:r>
              <w:rPr>
                <w:b w:val="0"/>
              </w:rPr>
              <w:t>Whether relevant threats are detected accurately and in time</w:t>
            </w:r>
          </w:p>
        </w:tc>
        <w:tc>
          <w:tcPr>
            <w:tcW w:type="dxa" w:w="3360"/>
            <w:vAlign w:val="center"/>
          </w:tcPr>
          <w:p>
            <w:pPr>
              <w:spacing w:after="0"/>
            </w:pPr>
            <w:r/>
            <w:r>
              <w:rPr>
                <w:b w:val="0"/>
              </w:rPr>
              <w:t>Assess whether the SIEM linked the event sequence and whether testing identifies gaps.</w:t>
            </w:r>
          </w:p>
        </w:tc>
      </w:tr>
      <w:tr>
        <w:tc>
          <w:tcPr>
            <w:tcW w:type="dxa" w:w="3360"/>
            <w:vAlign w:val="center"/>
          </w:tcPr>
          <w:p>
            <w:pPr>
              <w:spacing w:after="0"/>
            </w:pPr>
            <w:r/>
            <w:r>
              <w:rPr>
                <w:b w:val="0"/>
              </w:rPr>
              <w:t>Detection coverage</w:t>
            </w:r>
          </w:p>
        </w:tc>
        <w:tc>
          <w:tcPr>
            <w:tcW w:type="dxa" w:w="3360"/>
            <w:vAlign w:val="center"/>
          </w:tcPr>
          <w:p>
            <w:pPr>
              <w:spacing w:after="0"/>
            </w:pPr>
            <w:r/>
            <w:r>
              <w:rPr>
                <w:b w:val="0"/>
              </w:rPr>
              <w:t>Coverage of systems and behaviors by telemetry and rules</w:t>
            </w:r>
          </w:p>
        </w:tc>
        <w:tc>
          <w:tcPr>
            <w:tcW w:type="dxa" w:w="3360"/>
            <w:vAlign w:val="center"/>
          </w:tcPr>
          <w:p>
            <w:pPr>
              <w:spacing w:after="0"/>
            </w:pPr>
            <w:r/>
            <w:r>
              <w:rPr>
                <w:b w:val="0"/>
              </w:rPr>
              <w:t>Check whether identity, IAM, and data-access events are collected and searchable.</w:t>
            </w:r>
          </w:p>
        </w:tc>
      </w:tr>
    </w:tbl>
    <w:p>
      <w:pPr>
        <w:spacing w:after="20"/>
      </w:pPr>
    </w:p>
    <w:p>
      <w:pPr>
        <w:pStyle w:val="Heading2"/>
      </w:pPr>
      <w:r>
        <w:t>8.4 Reporting and communication</w:t>
      </w:r>
    </w:p>
    <w:p>
      <w:pPr>
        <w:pStyle w:val="ListBullet"/>
        <w:spacing w:after="40"/>
      </w:pPr>
      <w:r>
        <w:t>Analyst/case report: detailed timeline, evidence, queries, findings, uncertainties, and action history.</w:t>
      </w:r>
    </w:p>
    <w:p>
      <w:pPr>
        <w:pStyle w:val="ListBullet"/>
        <w:spacing w:after="40"/>
      </w:pPr>
      <w:r>
        <w:t>Operational report: alert volume, response times, escalations, false positives, and detection gaps.</w:t>
      </w:r>
    </w:p>
    <w:p>
      <w:pPr>
        <w:pStyle w:val="ListBullet"/>
        <w:spacing w:after="40"/>
      </w:pPr>
      <w:r>
        <w:t>Executive report: concise business impact, risk, response status, and decisions needed; avoid unsupported technical claims.</w:t>
      </w:r>
    </w:p>
    <w:p>
      <w:pPr>
        <w:pStyle w:val="Heading1"/>
      </w:pPr>
      <w:r>
        <w:t>9. Incident Response Lifecycle (Module 15)</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4476B"/>
          </w:tcPr>
          <w:p>
            <w:pPr>
              <w:spacing w:after="0"/>
            </w:pPr>
            <w:r/>
            <w:r>
              <w:rPr>
                <w:b/>
                <w:color w:val="FFFFFF"/>
              </w:rPr>
              <w:t>Phase</w:t>
            </w:r>
          </w:p>
        </w:tc>
        <w:tc>
          <w:tcPr>
            <w:tcW w:type="dxa" w:w="3360"/>
            <w:vAlign w:val="center"/>
            <w:shd w:fill="24476B"/>
          </w:tcPr>
          <w:p>
            <w:pPr>
              <w:spacing w:after="0"/>
            </w:pPr>
            <w:r/>
            <w:r>
              <w:rPr>
                <w:b/>
                <w:color w:val="FFFFFF"/>
              </w:rPr>
              <w:t>Actions for this scenario</w:t>
            </w:r>
          </w:p>
        </w:tc>
        <w:tc>
          <w:tcPr>
            <w:tcW w:type="dxa" w:w="3360"/>
            <w:vAlign w:val="center"/>
            <w:shd w:fill="24476B"/>
          </w:tcPr>
          <w:p>
            <w:pPr>
              <w:spacing w:after="0"/>
            </w:pPr>
            <w:r/>
            <w:r>
              <w:rPr>
                <w:b/>
                <w:color w:val="FFFFFF"/>
              </w:rPr>
              <w:t>Exit/verification evidence</w:t>
            </w:r>
          </w:p>
        </w:tc>
      </w:tr>
      <w:tr>
        <w:tc>
          <w:tcPr>
            <w:tcW w:type="dxa" w:w="3360"/>
            <w:vAlign w:val="center"/>
          </w:tcPr>
          <w:p>
            <w:pPr>
              <w:spacing w:after="0"/>
            </w:pPr>
            <w:r/>
            <w:r>
              <w:rPr>
                <w:b w:val="0"/>
              </w:rPr>
              <w:t>Preparation</w:t>
            </w:r>
          </w:p>
        </w:tc>
        <w:tc>
          <w:tcPr>
            <w:tcW w:type="dxa" w:w="3360"/>
            <w:vAlign w:val="center"/>
          </w:tcPr>
          <w:p>
            <w:pPr>
              <w:spacing w:after="0"/>
            </w:pPr>
            <w:r/>
            <w:r>
              <w:rPr>
                <w:b w:val="0"/>
              </w:rPr>
              <w:t>Maintain logging, response playbooks, access controls, contacts, and escalation paths.</w:t>
            </w:r>
          </w:p>
        </w:tc>
        <w:tc>
          <w:tcPr>
            <w:tcW w:type="dxa" w:w="3360"/>
            <w:vAlign w:val="center"/>
          </w:tcPr>
          <w:p>
            <w:pPr>
              <w:spacing w:after="0"/>
            </w:pPr>
            <w:r/>
            <w:r>
              <w:rPr>
                <w:b w:val="0"/>
              </w:rPr>
              <w:t>Required telemetry and playbooks are available.</w:t>
            </w:r>
          </w:p>
        </w:tc>
      </w:tr>
      <w:tr>
        <w:tc>
          <w:tcPr>
            <w:tcW w:type="dxa" w:w="3360"/>
            <w:vAlign w:val="center"/>
          </w:tcPr>
          <w:p>
            <w:pPr>
              <w:spacing w:after="0"/>
            </w:pPr>
            <w:r/>
            <w:r>
              <w:rPr>
                <w:b w:val="0"/>
              </w:rPr>
              <w:t>Identification</w:t>
            </w:r>
          </w:p>
        </w:tc>
        <w:tc>
          <w:tcPr>
            <w:tcW w:type="dxa" w:w="3360"/>
            <w:vAlign w:val="center"/>
          </w:tcPr>
          <w:p>
            <w:pPr>
              <w:spacing w:after="0"/>
            </w:pPr>
            <w:r/>
            <w:r>
              <w:rPr>
                <w:b w:val="0"/>
              </w:rPr>
              <w:t>Validate failed logins, successful login, unauthorized IAM change, and data access; determine scope.</w:t>
            </w:r>
          </w:p>
        </w:tc>
        <w:tc>
          <w:tcPr>
            <w:tcW w:type="dxa" w:w="3360"/>
            <w:vAlign w:val="center"/>
          </w:tcPr>
          <w:p>
            <w:pPr>
              <w:spacing w:after="0"/>
            </w:pPr>
            <w:r/>
            <w:r>
              <w:rPr>
                <w:b w:val="0"/>
              </w:rPr>
              <w:t>Evidence supports incident classification and known/unknown facts are documented.</w:t>
            </w:r>
          </w:p>
        </w:tc>
      </w:tr>
      <w:tr>
        <w:tc>
          <w:tcPr>
            <w:tcW w:type="dxa" w:w="3360"/>
            <w:vAlign w:val="center"/>
          </w:tcPr>
          <w:p>
            <w:pPr>
              <w:spacing w:after="0"/>
            </w:pPr>
            <w:r/>
            <w:r>
              <w:rPr>
                <w:b w:val="0"/>
              </w:rPr>
              <w:t>Containment</w:t>
            </w:r>
          </w:p>
        </w:tc>
        <w:tc>
          <w:tcPr>
            <w:tcW w:type="dxa" w:w="3360"/>
            <w:vAlign w:val="center"/>
          </w:tcPr>
          <w:p>
            <w:pPr>
              <w:spacing w:after="0"/>
            </w:pPr>
            <w:r/>
            <w:r>
              <w:rPr>
                <w:b w:val="0"/>
              </w:rPr>
              <w:t>Use authorized measures to restrict the suspicious session/account and prevent further unauthorized access; preserve evidence.</w:t>
            </w:r>
          </w:p>
        </w:tc>
        <w:tc>
          <w:tcPr>
            <w:tcW w:type="dxa" w:w="3360"/>
            <w:vAlign w:val="center"/>
          </w:tcPr>
          <w:p>
            <w:pPr>
              <w:spacing w:after="0"/>
            </w:pPr>
            <w:r/>
            <w:r>
              <w:rPr>
                <w:b w:val="0"/>
              </w:rPr>
              <w:t>Verify suspicious access has stopped and no obvious active access path remains.</w:t>
            </w:r>
          </w:p>
        </w:tc>
      </w:tr>
      <w:tr>
        <w:tc>
          <w:tcPr>
            <w:tcW w:type="dxa" w:w="3360"/>
            <w:vAlign w:val="center"/>
          </w:tcPr>
          <w:p>
            <w:pPr>
              <w:spacing w:after="0"/>
            </w:pPr>
            <w:r/>
            <w:r>
              <w:rPr>
                <w:b w:val="0"/>
              </w:rPr>
              <w:t>Eradication</w:t>
            </w:r>
          </w:p>
        </w:tc>
        <w:tc>
          <w:tcPr>
            <w:tcW w:type="dxa" w:w="3360"/>
            <w:vAlign w:val="center"/>
          </w:tcPr>
          <w:p>
            <w:pPr>
              <w:spacing w:after="0"/>
            </w:pPr>
            <w:r/>
            <w:r>
              <w:rPr>
                <w:b w:val="0"/>
              </w:rPr>
              <w:t>Remove unauthorized IAM changes, revoke compromised sessions/credentials, address initial access weakness, check persistence and related identities.</w:t>
            </w:r>
          </w:p>
        </w:tc>
        <w:tc>
          <w:tcPr>
            <w:tcW w:type="dxa" w:w="3360"/>
            <w:vAlign w:val="center"/>
          </w:tcPr>
          <w:p>
            <w:pPr>
              <w:spacing w:after="0"/>
            </w:pPr>
            <w:r/>
            <w:r>
              <w:rPr>
                <w:b w:val="0"/>
              </w:rPr>
              <w:t>Unauthorized access and identified persistence are removed; permissions reviewed.</w:t>
            </w:r>
          </w:p>
        </w:tc>
      </w:tr>
      <w:tr>
        <w:tc>
          <w:tcPr>
            <w:tcW w:type="dxa" w:w="3360"/>
            <w:vAlign w:val="center"/>
          </w:tcPr>
          <w:p>
            <w:pPr>
              <w:spacing w:after="0"/>
            </w:pPr>
            <w:r/>
            <w:r>
              <w:rPr>
                <w:b w:val="0"/>
              </w:rPr>
              <w:t>Recovery</w:t>
            </w:r>
          </w:p>
        </w:tc>
        <w:tc>
          <w:tcPr>
            <w:tcW w:type="dxa" w:w="3360"/>
            <w:vAlign w:val="center"/>
          </w:tcPr>
          <w:p>
            <w:pPr>
              <w:spacing w:after="0"/>
            </w:pPr>
            <w:r/>
            <w:r>
              <w:rPr>
                <w:b w:val="0"/>
              </w:rPr>
              <w:t>Restore approved access and services, validate security configuration, monitor for recurrence.</w:t>
            </w:r>
          </w:p>
        </w:tc>
        <w:tc>
          <w:tcPr>
            <w:tcW w:type="dxa" w:w="3360"/>
            <w:vAlign w:val="center"/>
          </w:tcPr>
          <w:p>
            <w:pPr>
              <w:spacing w:after="0"/>
            </w:pPr>
            <w:r/>
            <w:r>
              <w:rPr>
                <w:b w:val="0"/>
              </w:rPr>
              <w:t>Services operate safely; monitoring shows no continuing suspicious activity for the required period.</w:t>
            </w:r>
          </w:p>
        </w:tc>
      </w:tr>
      <w:tr>
        <w:tc>
          <w:tcPr>
            <w:tcW w:type="dxa" w:w="3360"/>
            <w:vAlign w:val="center"/>
          </w:tcPr>
          <w:p>
            <w:pPr>
              <w:spacing w:after="0"/>
            </w:pPr>
            <w:r/>
            <w:r>
              <w:rPr>
                <w:b w:val="0"/>
              </w:rPr>
              <w:t>Lessons learned</w:t>
            </w:r>
          </w:p>
        </w:tc>
        <w:tc>
          <w:tcPr>
            <w:tcW w:type="dxa" w:w="3360"/>
            <w:vAlign w:val="center"/>
          </w:tcPr>
          <w:p>
            <w:pPr>
              <w:spacing w:after="0"/>
            </w:pPr>
            <w:r/>
            <w:r>
              <w:rPr>
                <w:b w:val="0"/>
              </w:rPr>
              <w:t>Review root cause, impact, detection quality, response delays, and control gaps; assign improvements.</w:t>
            </w:r>
          </w:p>
        </w:tc>
        <w:tc>
          <w:tcPr>
            <w:tcW w:type="dxa" w:w="3360"/>
            <w:vAlign w:val="center"/>
          </w:tcPr>
          <w:p>
            <w:pPr>
              <w:spacing w:after="0"/>
            </w:pPr>
            <w:r/>
            <w:r>
              <w:rPr>
                <w:b w:val="0"/>
              </w:rPr>
              <w:t>Follow-up actions have owners and due dates; closure criteria are met or residual risks formally tracked.</w:t>
            </w:r>
          </w:p>
        </w:tc>
      </w:tr>
    </w:tbl>
    <w:p>
      <w:pPr>
        <w:spacing w:after="20"/>
      </w:pPr>
    </w:p>
    <w:p>
      <w:r>
        <w:t>The phases can overlap. Containment may begin while the team continues identification and root-cause analysis. Evidence preservation and documentation should continue throughout.</w:t>
      </w:r>
    </w:p>
    <w:p>
      <w:pPr>
        <w:pStyle w:val="Heading1"/>
      </w:pPr>
      <w:r>
        <w:t>10. VAT–SOC Collaboration</w:t>
      </w:r>
    </w:p>
    <w:p>
      <w:r>
        <w:t>If the Vulnerability Assessment Team reports a vulnerability on an affected workload, the SOC should correlate the scan finding with live telemetry and confirm that the asset, software/configuration, and exposure match the incident. The team should assess whether the vulnerability is exploitable in the environment and whether logs show activity consistent with exploitation. A vulnerability finding alone does not prove exploitation.</w:t>
      </w:r>
    </w:p>
    <w:p>
      <w:pPr>
        <w:pStyle w:val="ListBullet"/>
        <w:spacing w:after="40"/>
      </w:pPr>
      <w:r>
        <w:t>VAT: proactive discovery, validation, and reporting of vulnerabilities.</w:t>
      </w:r>
    </w:p>
    <w:p>
      <w:pPr>
        <w:pStyle w:val="ListBullet"/>
        <w:spacing w:after="40"/>
      </w:pPr>
      <w:r>
        <w:t>SOC: reactive monitoring, event correlation, investigation, and response.</w:t>
      </w:r>
    </w:p>
    <w:p>
      <w:pPr>
        <w:pStyle w:val="ListBullet"/>
        <w:spacing w:after="40"/>
      </w:pPr>
      <w:r>
        <w:t>Shared workflow: scan finding → asset/context enrichment → telemetry correlation → risk reprioritization → coordinated remediation.</w:t>
      </w:r>
    </w:p>
    <w:p>
      <w:pPr>
        <w:pStyle w:val="ListBullet"/>
        <w:spacing w:after="40"/>
      </w:pPr>
      <w:r>
        <w:t>Document the asset identifier, vulnerability/CVE reference if known, scan timestamp, exposure, relevant telemetry, and confidence. No specific CVE is asserted in this case.</w:t>
      </w:r>
    </w:p>
    <w:p>
      <w:pPr>
        <w:pStyle w:val="Heading1"/>
      </w:pPr>
      <w:r>
        <w:t>11. AI-Assisted SOC Use</w:t>
      </w:r>
    </w:p>
    <w:p>
      <w:pPr>
        <w:pStyle w:val="ListBullet"/>
        <w:spacing w:after="40"/>
      </w:pPr>
      <w:r>
        <w:t>AI may summarize the event timeline, suggest relevant log queries, enrich candidate IOCs, draft correlation logic, and prepare a first-pass incident summary.</w:t>
      </w:r>
    </w:p>
    <w:p>
      <w:pPr>
        <w:pStyle w:val="ListBullet"/>
        <w:spacing w:after="40"/>
      </w:pPr>
      <w:r>
        <w:t>A human analyst must validate source evidence, timestamps, identity/session relationships, detection logic, and any recommendation.</w:t>
      </w:r>
    </w:p>
    <w:p>
      <w:pPr>
        <w:pStyle w:val="ListBullet"/>
        <w:spacing w:after="40"/>
      </w:pPr>
      <w:r>
        <w:t>Do not allow an AI-generated summary to assert data exfiltration, vulnerability exploitation, attacker attribution, or successful containment without supporting evidence.</w:t>
      </w:r>
    </w:p>
    <w:p>
      <w:pPr>
        <w:pStyle w:val="ListBullet"/>
        <w:spacing w:after="40"/>
      </w:pPr>
      <w:r>
        <w:t>Retain traceability from each material conclusion to the underlying event or investigation note.</w:t>
      </w:r>
    </w:p>
    <w:p>
      <w:pPr>
        <w:pStyle w:val="Heading1"/>
      </w:pPr>
      <w:r>
        <w:t>12. Root Cause and Impact Assessment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24476B"/>
          </w:tcPr>
          <w:p>
            <w:pPr>
              <w:spacing w:after="0"/>
            </w:pPr>
            <w:r/>
            <w:r>
              <w:rPr>
                <w:b/>
                <w:color w:val="FFFFFF"/>
              </w:rPr>
              <w:t>Question</w:t>
            </w:r>
          </w:p>
        </w:tc>
        <w:tc>
          <w:tcPr>
            <w:tcW w:type="dxa" w:w="3360"/>
            <w:vAlign w:val="center"/>
            <w:shd w:fill="24476B"/>
          </w:tcPr>
          <w:p>
            <w:pPr>
              <w:spacing w:after="0"/>
            </w:pPr>
            <w:r/>
            <w:r>
              <w:rPr>
                <w:b/>
                <w:color w:val="FFFFFF"/>
              </w:rPr>
              <w:t>Current assessment</w:t>
            </w:r>
          </w:p>
        </w:tc>
        <w:tc>
          <w:tcPr>
            <w:tcW w:type="dxa" w:w="3360"/>
            <w:vAlign w:val="center"/>
            <w:shd w:fill="24476B"/>
          </w:tcPr>
          <w:p>
            <w:pPr>
              <w:spacing w:after="0"/>
            </w:pPr>
            <w:r/>
            <w:r>
              <w:rPr>
                <w:b/>
                <w:color w:val="FFFFFF"/>
              </w:rPr>
              <w:t>Evidence needed</w:t>
            </w:r>
          </w:p>
        </w:tc>
      </w:tr>
      <w:tr>
        <w:tc>
          <w:tcPr>
            <w:tcW w:type="dxa" w:w="3360"/>
            <w:vAlign w:val="center"/>
          </w:tcPr>
          <w:p>
            <w:pPr>
              <w:spacing w:after="0"/>
            </w:pPr>
            <w:r/>
            <w:r>
              <w:rPr>
                <w:b w:val="0"/>
              </w:rPr>
              <w:t>Was the IAM change authorized?</w:t>
            </w:r>
          </w:p>
        </w:tc>
        <w:tc>
          <w:tcPr>
            <w:tcW w:type="dxa" w:w="3360"/>
            <w:vAlign w:val="center"/>
          </w:tcPr>
          <w:p>
            <w:pPr>
              <w:spacing w:after="0"/>
            </w:pPr>
            <w:r/>
            <w:r>
              <w:rPr>
                <w:b w:val="0"/>
              </w:rPr>
              <w:t>No; unauthorized in the training scenario.</w:t>
            </w:r>
          </w:p>
        </w:tc>
        <w:tc>
          <w:tcPr>
            <w:tcW w:type="dxa" w:w="3360"/>
            <w:vAlign w:val="center"/>
          </w:tcPr>
          <w:p>
            <w:pPr>
              <w:spacing w:after="0"/>
            </w:pPr>
            <w:r/>
            <w:r>
              <w:rPr>
                <w:b w:val="0"/>
              </w:rPr>
              <w:t>Policy change event, before/after policy, change ticket/approval review.</w:t>
            </w:r>
          </w:p>
        </w:tc>
      </w:tr>
      <w:tr>
        <w:tc>
          <w:tcPr>
            <w:tcW w:type="dxa" w:w="3360"/>
            <w:vAlign w:val="center"/>
          </w:tcPr>
          <w:p>
            <w:pPr>
              <w:spacing w:after="0"/>
            </w:pPr>
            <w:r/>
            <w:r>
              <w:rPr>
                <w:b w:val="0"/>
              </w:rPr>
              <w:t>Was the account compromised?</w:t>
            </w:r>
          </w:p>
        </w:tc>
        <w:tc>
          <w:tcPr>
            <w:tcW w:type="dxa" w:w="3360"/>
            <w:vAlign w:val="center"/>
          </w:tcPr>
          <w:p>
            <w:pPr>
              <w:spacing w:after="0"/>
            </w:pPr>
            <w:r/>
            <w:r>
              <w:rPr>
                <w:b w:val="0"/>
              </w:rPr>
              <w:t>Strongly suspected; exact initial access method not established.</w:t>
            </w:r>
          </w:p>
        </w:tc>
        <w:tc>
          <w:tcPr>
            <w:tcW w:type="dxa" w:w="3360"/>
            <w:vAlign w:val="center"/>
          </w:tcPr>
          <w:p>
            <w:pPr>
              <w:spacing w:after="0"/>
            </w:pPr>
            <w:r/>
            <w:r>
              <w:rPr>
                <w:b w:val="0"/>
              </w:rPr>
              <w:t>Identity-provider logs, MFA/session events, credential changes, endpoint evidence, user confirmation.</w:t>
            </w:r>
          </w:p>
        </w:tc>
      </w:tr>
      <w:tr>
        <w:tc>
          <w:tcPr>
            <w:tcW w:type="dxa" w:w="3360"/>
            <w:vAlign w:val="center"/>
          </w:tcPr>
          <w:p>
            <w:pPr>
              <w:spacing w:after="0"/>
            </w:pPr>
            <w:r/>
            <w:r>
              <w:rPr>
                <w:b w:val="0"/>
              </w:rPr>
              <w:t>Was sensitive data accessed?</w:t>
            </w:r>
          </w:p>
        </w:tc>
        <w:tc>
          <w:tcPr>
            <w:tcW w:type="dxa" w:w="3360"/>
            <w:vAlign w:val="center"/>
          </w:tcPr>
          <w:p>
            <w:pPr>
              <w:spacing w:after="0"/>
            </w:pPr>
            <w:r/>
            <w:r>
              <w:rPr>
                <w:b w:val="0"/>
              </w:rPr>
              <w:t>Yes, according to the scenario's cloud access logs.</w:t>
            </w:r>
          </w:p>
        </w:tc>
        <w:tc>
          <w:tcPr>
            <w:tcW w:type="dxa" w:w="3360"/>
            <w:vAlign w:val="center"/>
          </w:tcPr>
          <w:p>
            <w:pPr>
              <w:spacing w:after="0"/>
            </w:pPr>
            <w:r/>
            <w:r>
              <w:rPr>
                <w:b w:val="0"/>
              </w:rPr>
              <w:t>Resource/object-level logs, identity/session correlation, access details.</w:t>
            </w:r>
          </w:p>
        </w:tc>
      </w:tr>
      <w:tr>
        <w:tc>
          <w:tcPr>
            <w:tcW w:type="dxa" w:w="3360"/>
            <w:vAlign w:val="center"/>
          </w:tcPr>
          <w:p>
            <w:pPr>
              <w:spacing w:after="0"/>
            </w:pPr>
            <w:r/>
            <w:r>
              <w:rPr>
                <w:b w:val="0"/>
              </w:rPr>
              <w:t>Was data exfiltrated?</w:t>
            </w:r>
          </w:p>
        </w:tc>
        <w:tc>
          <w:tcPr>
            <w:tcW w:type="dxa" w:w="3360"/>
            <w:vAlign w:val="center"/>
          </w:tcPr>
          <w:p>
            <w:pPr>
              <w:spacing w:after="0"/>
            </w:pPr>
            <w:r/>
            <w:r>
              <w:rPr>
                <w:b w:val="0"/>
              </w:rPr>
              <w:t>Unknown; not established.</w:t>
            </w:r>
          </w:p>
        </w:tc>
        <w:tc>
          <w:tcPr>
            <w:tcW w:type="dxa" w:w="3360"/>
            <w:vAlign w:val="center"/>
          </w:tcPr>
          <w:p>
            <w:pPr>
              <w:spacing w:after="0"/>
            </w:pPr>
            <w:r/>
            <w:r>
              <w:rPr>
                <w:b w:val="0"/>
              </w:rPr>
              <w:t>Data transfer logs, network egress, object download/access records, service-specific telemetry.</w:t>
            </w:r>
          </w:p>
        </w:tc>
      </w:tr>
      <w:tr>
        <w:tc>
          <w:tcPr>
            <w:tcW w:type="dxa" w:w="3360"/>
            <w:vAlign w:val="center"/>
          </w:tcPr>
          <w:p>
            <w:pPr>
              <w:spacing w:after="0"/>
            </w:pPr>
            <w:r/>
            <w:r>
              <w:rPr>
                <w:b w:val="0"/>
              </w:rPr>
              <w:t>Was a vulnerability exploited?</w:t>
            </w:r>
          </w:p>
        </w:tc>
        <w:tc>
          <w:tcPr>
            <w:tcW w:type="dxa" w:w="3360"/>
            <w:vAlign w:val="center"/>
          </w:tcPr>
          <w:p>
            <w:pPr>
              <w:spacing w:after="0"/>
            </w:pPr>
            <w:r/>
            <w:r>
              <w:rPr>
                <w:b w:val="0"/>
              </w:rPr>
              <w:t>Unknown; no specific vulnerability or exploitation evidence supplied.</w:t>
            </w:r>
          </w:p>
        </w:tc>
        <w:tc>
          <w:tcPr>
            <w:tcW w:type="dxa" w:w="3360"/>
            <w:vAlign w:val="center"/>
          </w:tcPr>
          <w:p>
            <w:pPr>
              <w:spacing w:after="0"/>
            </w:pPr>
            <w:r/>
            <w:r>
              <w:rPr>
                <w:b w:val="0"/>
              </w:rPr>
              <w:t>Relevant asset scan, vulnerability validation, exploit-consistent telemetry.</w:t>
            </w:r>
          </w:p>
        </w:tc>
      </w:tr>
      <w:tr>
        <w:tc>
          <w:tcPr>
            <w:tcW w:type="dxa" w:w="3360"/>
            <w:vAlign w:val="center"/>
          </w:tcPr>
          <w:p>
            <w:pPr>
              <w:spacing w:after="0"/>
            </w:pPr>
            <w:r/>
            <w:r>
              <w:rPr>
                <w:b w:val="0"/>
              </w:rPr>
              <w:t>Are other accounts/resources affected?</w:t>
            </w:r>
          </w:p>
        </w:tc>
        <w:tc>
          <w:tcPr>
            <w:tcW w:type="dxa" w:w="3360"/>
            <w:vAlign w:val="center"/>
          </w:tcPr>
          <w:p>
            <w:pPr>
              <w:spacing w:after="0"/>
            </w:pPr>
            <w:r/>
            <w:r>
              <w:rPr>
                <w:b w:val="0"/>
              </w:rPr>
              <w:t>Unknown.</w:t>
            </w:r>
          </w:p>
        </w:tc>
        <w:tc>
          <w:tcPr>
            <w:tcW w:type="dxa" w:w="3360"/>
            <w:vAlign w:val="center"/>
          </w:tcPr>
          <w:p>
            <w:pPr>
              <w:spacing w:after="0"/>
            </w:pPr>
            <w:r/>
            <w:r>
              <w:rPr>
                <w:b w:val="0"/>
              </w:rPr>
              <w:t>Search related identities, principals, source indicators, IAM changes, and resources across the environment.</w:t>
            </w:r>
          </w:p>
        </w:tc>
      </w:tr>
    </w:tbl>
    <w:p>
      <w:pPr>
        <w:spacing w:after="20"/>
      </w:pPr>
    </w:p>
    <w:p>
      <w:pPr>
        <w:pStyle w:val="Heading1"/>
      </w:pPr>
      <w:r>
        <w:t>13. Containment, Eradication, and Recovery Checklist</w:t>
      </w:r>
    </w:p>
    <w:p>
      <w:pPr>
        <w:pStyle w:val="ListBullet"/>
        <w:spacing w:after="40"/>
      </w:pPr>
      <w:r>
        <w:t>☐ Confirm the affected account, principal, and active sessions.</w:t>
      </w:r>
    </w:p>
    <w:p>
      <w:pPr>
        <w:pStyle w:val="ListBullet"/>
        <w:spacing w:after="40"/>
      </w:pPr>
      <w:r>
        <w:t>☐ Preserve relevant logs and IAM policy evidence before changes where feasible and consistent with emergency response requirements.</w:t>
      </w:r>
    </w:p>
    <w:p>
      <w:pPr>
        <w:pStyle w:val="ListBullet"/>
        <w:spacing w:after="40"/>
      </w:pPr>
      <w:r>
        <w:t>☐ Restrict or revoke suspicious sessions and credentials using approved procedures.</w:t>
      </w:r>
    </w:p>
    <w:p>
      <w:pPr>
        <w:pStyle w:val="ListBullet"/>
        <w:spacing w:after="40"/>
      </w:pPr>
      <w:r>
        <w:t>☐ Review MFA status, authentication factors, access keys, role assumptions, and related identities.</w:t>
      </w:r>
    </w:p>
    <w:p>
      <w:pPr>
        <w:pStyle w:val="ListBullet"/>
        <w:spacing w:after="40"/>
      </w:pPr>
      <w:r>
        <w:t>☐ Remove unauthorized IAM policy changes and review effective permissions for excessive access.</w:t>
      </w:r>
    </w:p>
    <w:p>
      <w:pPr>
        <w:pStyle w:val="ListBullet"/>
        <w:spacing w:after="40"/>
      </w:pPr>
      <w:r>
        <w:t>☐ Investigate persistence, other affected identities/resources, and potential lateral movement.</w:t>
      </w:r>
    </w:p>
    <w:p>
      <w:pPr>
        <w:pStyle w:val="ListBullet"/>
        <w:spacing w:after="40"/>
      </w:pPr>
      <w:r>
        <w:t>☐ Assess sensitive-data access and potential exfiltration using available logs.</w:t>
      </w:r>
    </w:p>
    <w:p>
      <w:pPr>
        <w:pStyle w:val="ListBullet"/>
        <w:spacing w:after="40"/>
      </w:pPr>
      <w:r>
        <w:t>☐ Restore only approved permissions and services; validate security configuration.</w:t>
      </w:r>
    </w:p>
    <w:p>
      <w:pPr>
        <w:pStyle w:val="ListBullet"/>
        <w:spacing w:after="40"/>
      </w:pPr>
      <w:r>
        <w:t>☐ Monitor for renewed suspicious login, IAM changes, or data access.</w:t>
      </w:r>
    </w:p>
    <w:p>
      <w:pPr>
        <w:pStyle w:val="ListBullet"/>
        <w:spacing w:after="40"/>
      </w:pPr>
      <w:r>
        <w:t>☐ Record action owner, timestamp, outcome, evidence, and any residual risk.</w:t>
      </w:r>
    </w:p>
    <w:p>
      <w:pPr>
        <w:pStyle w:val="Heading1"/>
      </w:pPr>
      <w:r>
        <w:t>14. Closure Criteria</w:t>
      </w:r>
    </w:p>
    <w:p>
      <w:r>
        <w:t>Close the case only when organizational requirements are satisfied. For this scenario, the following should be addressed:</w:t>
      </w:r>
    </w:p>
    <w:p>
      <w:pPr>
        <w:pStyle w:val="ListBullet"/>
        <w:spacing w:after="40"/>
      </w:pPr>
      <w:r>
        <w:t>☐ Containment and eradication are verified, or residual risk is explicitly accepted through the approved process.</w:t>
      </w:r>
    </w:p>
    <w:p>
      <w:pPr>
        <w:pStyle w:val="ListBullet"/>
        <w:spacing w:after="40"/>
      </w:pPr>
      <w:r>
        <w:t>☐ The scope of affected accounts, systems, and sensitive-data access has been assessed to the required level.</w:t>
      </w:r>
    </w:p>
    <w:p>
      <w:pPr>
        <w:pStyle w:val="ListBullet"/>
        <w:spacing w:after="40"/>
      </w:pPr>
      <w:r>
        <w:t>☐ The team has documented whether exfiltration is confirmed, ruled out with adequate evidence, or remains unknown.</w:t>
      </w:r>
    </w:p>
    <w:p>
      <w:pPr>
        <w:pStyle w:val="ListBullet"/>
        <w:spacing w:after="40"/>
      </w:pPr>
      <w:r>
        <w:t>☐ Recovery is validated and monitoring is in place.</w:t>
      </w:r>
    </w:p>
    <w:p>
      <w:pPr>
        <w:pStyle w:val="ListBullet"/>
        <w:spacing w:after="40"/>
      </w:pPr>
      <w:r>
        <w:t>☐ Evidence, timeline, decisions, and communications are documented.</w:t>
      </w:r>
    </w:p>
    <w:p>
      <w:pPr>
        <w:pStyle w:val="ListBullet"/>
        <w:spacing w:after="40"/>
      </w:pPr>
      <w:r>
        <w:t>☐ Follow-up actions have owners and due dates; unresolved items are tracked in an approved way.</w:t>
      </w:r>
    </w:p>
    <w:p>
      <w:pPr>
        <w:pStyle w:val="ListBullet"/>
        <w:spacing w:after="40"/>
      </w:pPr>
      <w:r>
        <w:t>☐ Incident classification and final severity are recorded according to policy.</w:t>
      </w:r>
    </w:p>
    <w:p>
      <w:r>
        <w:t>Current training-case disposition: keep open or in an approved pending-investigation state because the full impact assessment is unresolved. Do not mark the incident fully resolved merely because suspicious access stopped.</w:t>
      </w:r>
    </w:p>
    <w:p>
      <w:pPr>
        <w:pStyle w:val="Heading1"/>
      </w:pPr>
      <w:r>
        <w:t>15. Lessons Learned and Recommended Improvements</w:t>
      </w:r>
    </w:p>
    <w:p>
      <w:pPr>
        <w:pStyle w:val="ListBullet"/>
        <w:spacing w:after="40"/>
      </w:pPr>
      <w:r>
        <w:t>Ensure authentication, CloudTrail, and relevant data-access logging are enabled, retained, time-synchronized, and searchable.</w:t>
      </w:r>
    </w:p>
    <w:p>
      <w:pPr>
        <w:pStyle w:val="ListBullet"/>
        <w:spacing w:after="40"/>
      </w:pPr>
      <w:r>
        <w:t>Normalize identity and session fields so cross-source correlation is reliable.</w:t>
      </w:r>
    </w:p>
    <w:p>
      <w:pPr>
        <w:pStyle w:val="ListBullet"/>
        <w:spacing w:after="40"/>
      </w:pPr>
      <w:r>
        <w:t>Create and test detections for suspicious authentication followed by privilege changes and sensitive-data access.</w:t>
      </w:r>
    </w:p>
    <w:p>
      <w:pPr>
        <w:pStyle w:val="ListBullet"/>
        <w:spacing w:after="40"/>
      </w:pPr>
      <w:r>
        <w:t>Use asset criticality and data sensitivity to support risk-based alert prioritization.</w:t>
      </w:r>
    </w:p>
    <w:p>
      <w:pPr>
        <w:pStyle w:val="ListBullet"/>
        <w:spacing w:after="40"/>
      </w:pPr>
      <w:r>
        <w:t>Tune false positives using approved change records and known-good administrative behavior without suppressing meaningful signals.</w:t>
      </w:r>
    </w:p>
    <w:p>
      <w:pPr>
        <w:pStyle w:val="ListBullet"/>
        <w:spacing w:after="40"/>
      </w:pPr>
      <w:r>
        <w:t>Test containment playbooks and clarify who can authorize emergency account/session restrictions.</w:t>
      </w:r>
    </w:p>
    <w:p>
      <w:pPr>
        <w:pStyle w:val="ListBullet"/>
        <w:spacing w:after="40"/>
      </w:pPr>
      <w:r>
        <w:t>Track MTTD, response milestones, detection coverage, false positives, and lessons-learned actions.</w:t>
      </w:r>
    </w:p>
    <w:p>
      <w:pPr>
        <w:pStyle w:val="ListBullet"/>
        <w:spacing w:after="40"/>
      </w:pPr>
      <w:r>
        <w:t>Use AI for assistance only, with analyst validation and traceable evidence.</w:t>
      </w:r>
    </w:p>
    <w:p>
      <w:pPr>
        <w:pStyle w:val="Heading1"/>
      </w:pPr>
      <w:r>
        <w:t>16. Final Incident Summary</w:t>
      </w:r>
    </w:p>
    <w:p>
      <w:r>
        <w:t>IR-2026-001 began with repeated failed authentication attempts and escalated in concern after a successful login, an unauthorized IAM policy change, and sensitive-data access were correlated. The analyst appropriately validated the alert, raised priority, preserved evidence, escalated the case, and initiated containment through the response process. The incident illustrates how log analysis (Module 16), SIEM engineering (Module 17), SOC operations (Module 18), and incident response (Module 15) work together.</w:t>
      </w:r>
    </w:p>
    <w:p>
      <w:r>
        <w:t>Final disposition for this training scenario: OPEN / PENDING IMPACT ASSESSMENT. The unauthorized IAM change is confirmed within the scenario. The initial access method, full scope, and potential data exfiltration remain unresolved. Closure requires documented impact assessment, verified eradication and recovery, and compliance with the organization's closure criteria.</w:t>
      </w:r>
    </w:p>
    <w:p>
      <w:pPr>
        <w:pStyle w:val="Heading1"/>
      </w:pPr>
      <w:r>
        <w:t>Appendix A — Quick Exam Answers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4476B"/>
          </w:tcPr>
          <w:p>
            <w:pPr>
              <w:spacing w:after="0"/>
            </w:pPr>
            <w:r/>
            <w:r>
              <w:rPr>
                <w:b/>
                <w:color w:val="FFFFFF"/>
              </w:rPr>
              <w:t>Question</w:t>
            </w:r>
          </w:p>
        </w:tc>
        <w:tc>
          <w:tcPr>
            <w:tcW w:type="dxa" w:w="5040"/>
            <w:vAlign w:val="center"/>
            <w:shd w:fill="24476B"/>
          </w:tcPr>
          <w:p>
            <w:pPr>
              <w:spacing w:after="0"/>
            </w:pPr>
            <w:r/>
            <w:r>
              <w:rPr>
                <w:b/>
                <w:color w:val="FFFFFF"/>
              </w:rPr>
              <w:t>Answer / principle</w:t>
            </w:r>
          </w:p>
        </w:tc>
      </w:tr>
      <w:tr>
        <w:tc>
          <w:tcPr>
            <w:tcW w:type="dxa" w:w="5040"/>
            <w:vAlign w:val="center"/>
          </w:tcPr>
          <w:p>
            <w:pPr>
              <w:spacing w:after="0"/>
            </w:pPr>
            <w:r/>
            <w:r>
              <w:rPr>
                <w:b w:val="0"/>
              </w:rPr>
              <w:t>What should you do after repeated failed logins?</w:t>
            </w:r>
          </w:p>
        </w:tc>
        <w:tc>
          <w:tcPr>
            <w:tcW w:type="dxa" w:w="5040"/>
            <w:vAlign w:val="center"/>
          </w:tcPr>
          <w:p>
            <w:pPr>
              <w:spacing w:after="0"/>
            </w:pPr>
            <w:r/>
            <w:r>
              <w:rPr>
                <w:b w:val="0"/>
              </w:rPr>
              <w:t>Validate the alert and correlate authentication logs with related activity.</w:t>
            </w:r>
          </w:p>
        </w:tc>
      </w:tr>
      <w:tr>
        <w:tc>
          <w:tcPr>
            <w:tcW w:type="dxa" w:w="5040"/>
            <w:vAlign w:val="center"/>
          </w:tcPr>
          <w:p>
            <w:pPr>
              <w:spacing w:after="0"/>
            </w:pPr>
            <w:r/>
            <w:r>
              <w:rPr>
                <w:b w:val="0"/>
              </w:rPr>
              <w:t>Why raise priority after a successful login and IAM change?</w:t>
            </w:r>
          </w:p>
        </w:tc>
        <w:tc>
          <w:tcPr>
            <w:tcW w:type="dxa" w:w="5040"/>
            <w:vAlign w:val="center"/>
          </w:tcPr>
          <w:p>
            <w:pPr>
              <w:spacing w:after="0"/>
            </w:pPr>
            <w:r/>
            <w:r>
              <w:rPr>
                <w:b w:val="0"/>
              </w:rPr>
              <w:t>The combined evidence suggests potential compromise and privilege abuse.</w:t>
            </w:r>
          </w:p>
        </w:tc>
      </w:tr>
      <w:tr>
        <w:tc>
          <w:tcPr>
            <w:tcW w:type="dxa" w:w="5040"/>
            <w:vAlign w:val="center"/>
          </w:tcPr>
          <w:p>
            <w:pPr>
              <w:spacing w:after="0"/>
            </w:pPr>
            <w:r/>
            <w:r>
              <w:rPr>
                <w:b w:val="0"/>
              </w:rPr>
              <w:t>What if the activity is ongoing?</w:t>
            </w:r>
          </w:p>
        </w:tc>
        <w:tc>
          <w:tcPr>
            <w:tcW w:type="dxa" w:w="5040"/>
            <w:vAlign w:val="center"/>
          </w:tcPr>
          <w:p>
            <w:pPr>
              <w:spacing w:after="0"/>
            </w:pPr>
            <w:r/>
            <w:r>
              <w:rPr>
                <w:b w:val="0"/>
              </w:rPr>
              <w:t>Use authorized containment promptly while preserving evidence and continuing investigation.</w:t>
            </w:r>
          </w:p>
        </w:tc>
      </w:tr>
      <w:tr>
        <w:tc>
          <w:tcPr>
            <w:tcW w:type="dxa" w:w="5040"/>
            <w:vAlign w:val="center"/>
          </w:tcPr>
          <w:p>
            <w:pPr>
              <w:spacing w:after="0"/>
            </w:pPr>
            <w:r/>
            <w:r>
              <w:rPr>
                <w:b w:val="0"/>
              </w:rPr>
              <w:t>Can data access prove exfiltration?</w:t>
            </w:r>
          </w:p>
        </w:tc>
        <w:tc>
          <w:tcPr>
            <w:tcW w:type="dxa" w:w="5040"/>
            <w:vAlign w:val="center"/>
          </w:tcPr>
          <w:p>
            <w:pPr>
              <w:spacing w:after="0"/>
            </w:pPr>
            <w:r/>
            <w:r>
              <w:rPr>
                <w:b w:val="0"/>
              </w:rPr>
              <w:t>No. Exfiltration requires supporting evidence.</w:t>
            </w:r>
          </w:p>
        </w:tc>
      </w:tr>
      <w:tr>
        <w:tc>
          <w:tcPr>
            <w:tcW w:type="dxa" w:w="5040"/>
            <w:vAlign w:val="center"/>
          </w:tcPr>
          <w:p>
            <w:pPr>
              <w:spacing w:after="0"/>
            </w:pPr>
            <w:r/>
            <w:r>
              <w:rPr>
                <w:b w:val="0"/>
              </w:rPr>
              <w:t>What is parsing?</w:t>
            </w:r>
          </w:p>
        </w:tc>
        <w:tc>
          <w:tcPr>
            <w:tcW w:type="dxa" w:w="5040"/>
            <w:vAlign w:val="center"/>
          </w:tcPr>
          <w:p>
            <w:pPr>
              <w:spacing w:after="0"/>
            </w:pPr>
            <w:r/>
            <w:r>
              <w:rPr>
                <w:b w:val="0"/>
              </w:rPr>
              <w:t>Extracting structured fields from raw log data.</w:t>
            </w:r>
          </w:p>
        </w:tc>
      </w:tr>
      <w:tr>
        <w:tc>
          <w:tcPr>
            <w:tcW w:type="dxa" w:w="5040"/>
            <w:vAlign w:val="center"/>
          </w:tcPr>
          <w:p>
            <w:pPr>
              <w:spacing w:after="0"/>
            </w:pPr>
            <w:r/>
            <w:r>
              <w:rPr>
                <w:b w:val="0"/>
              </w:rPr>
              <w:t>What is normalization?</w:t>
            </w:r>
          </w:p>
        </w:tc>
        <w:tc>
          <w:tcPr>
            <w:tcW w:type="dxa" w:w="5040"/>
            <w:vAlign w:val="center"/>
          </w:tcPr>
          <w:p>
            <w:pPr>
              <w:spacing w:after="0"/>
            </w:pPr>
            <w:r/>
            <w:r>
              <w:rPr>
                <w:b w:val="0"/>
              </w:rPr>
              <w:t>Mapping fields and formats into a consistent schema.</w:t>
            </w:r>
          </w:p>
        </w:tc>
      </w:tr>
      <w:tr>
        <w:tc>
          <w:tcPr>
            <w:tcW w:type="dxa" w:w="5040"/>
            <w:vAlign w:val="center"/>
          </w:tcPr>
          <w:p>
            <w:pPr>
              <w:spacing w:after="0"/>
            </w:pPr>
            <w:r/>
            <w:r>
              <w:rPr>
                <w:b w:val="0"/>
              </w:rPr>
              <w:t>What is correlation?</w:t>
            </w:r>
          </w:p>
        </w:tc>
        <w:tc>
          <w:tcPr>
            <w:tcW w:type="dxa" w:w="5040"/>
            <w:vAlign w:val="center"/>
          </w:tcPr>
          <w:p>
            <w:pPr>
              <w:spacing w:after="0"/>
            </w:pPr>
            <w:r/>
            <w:r>
              <w:rPr>
                <w:b w:val="0"/>
              </w:rPr>
              <w:t>Connecting related events across sources, identities, and time.</w:t>
            </w:r>
          </w:p>
        </w:tc>
      </w:tr>
      <w:tr>
        <w:tc>
          <w:tcPr>
            <w:tcW w:type="dxa" w:w="5040"/>
            <w:vAlign w:val="center"/>
          </w:tcPr>
          <w:p>
            <w:pPr>
              <w:spacing w:after="0"/>
            </w:pPr>
            <w:r/>
            <w:r>
              <w:rPr>
                <w:b w:val="0"/>
              </w:rPr>
              <w:t>When should a case close?</w:t>
            </w:r>
          </w:p>
        </w:tc>
        <w:tc>
          <w:tcPr>
            <w:tcW w:type="dxa" w:w="5040"/>
            <w:vAlign w:val="center"/>
          </w:tcPr>
          <w:p>
            <w:pPr>
              <w:spacing w:after="0"/>
            </w:pPr>
            <w:r/>
            <w:r>
              <w:rPr>
                <w:b w:val="0"/>
              </w:rPr>
              <w:t>When closure criteria are met and impact, actions, uncertainties, and follow-up risks are documented.</w:t>
            </w:r>
          </w:p>
        </w:tc>
      </w:tr>
    </w:tbl>
    <w:p>
      <w:pPr>
        <w:spacing w:after="20"/>
      </w:pPr>
    </w:p>
    <w:p>
      <w:pPr>
        <w:pStyle w:val="Heading1"/>
      </w:pPr>
      <w:r>
        <w:t>Appendix B — Incident Record Change Log</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24476B"/>
          </w:tcPr>
          <w:p>
            <w:pPr>
              <w:spacing w:after="0"/>
            </w:pPr>
            <w:r/>
            <w:r>
              <w:rPr>
                <w:b/>
                <w:color w:val="FFFFFF"/>
              </w:rPr>
              <w:t>Update</w:t>
            </w:r>
          </w:p>
        </w:tc>
        <w:tc>
          <w:tcPr>
            <w:tcW w:type="dxa" w:w="5040"/>
            <w:vAlign w:val="center"/>
            <w:shd w:fill="24476B"/>
          </w:tcPr>
          <w:p>
            <w:pPr>
              <w:spacing w:after="0"/>
            </w:pPr>
            <w:r/>
            <w:r>
              <w:rPr>
                <w:b/>
                <w:color w:val="FFFFFF"/>
              </w:rPr>
              <w:t>Record</w:t>
            </w:r>
          </w:p>
        </w:tc>
      </w:tr>
      <w:tr>
        <w:tc>
          <w:tcPr>
            <w:tcW w:type="dxa" w:w="5040"/>
            <w:vAlign w:val="center"/>
          </w:tcPr>
          <w:p>
            <w:pPr>
              <w:spacing w:after="0"/>
            </w:pPr>
            <w:r/>
            <w:r>
              <w:rPr>
                <w:b w:val="0"/>
              </w:rPr>
              <w:t>Initial triage</w:t>
            </w:r>
          </w:p>
        </w:tc>
        <w:tc>
          <w:tcPr>
            <w:tcW w:type="dxa" w:w="5040"/>
            <w:vAlign w:val="center"/>
          </w:tcPr>
          <w:p>
            <w:pPr>
              <w:spacing w:after="0"/>
            </w:pPr>
            <w:r/>
            <w:r>
              <w:rPr>
                <w:b w:val="0"/>
              </w:rPr>
              <w:t>Alert: 12 failed logins in five minutes. Analyst chooses validation and correlation.</w:t>
            </w:r>
          </w:p>
        </w:tc>
      </w:tr>
      <w:tr>
        <w:tc>
          <w:tcPr>
            <w:tcW w:type="dxa" w:w="5040"/>
            <w:vAlign w:val="center"/>
          </w:tcPr>
          <w:p>
            <w:pPr>
              <w:spacing w:after="0"/>
            </w:pPr>
            <w:r/>
            <w:r>
              <w:rPr>
                <w:b w:val="0"/>
              </w:rPr>
              <w:t>Correlation</w:t>
            </w:r>
          </w:p>
        </w:tc>
        <w:tc>
          <w:tcPr>
            <w:tcW w:type="dxa" w:w="5040"/>
            <w:vAlign w:val="center"/>
          </w:tcPr>
          <w:p>
            <w:pPr>
              <w:spacing w:after="0"/>
            </w:pPr>
            <w:r/>
            <w:r>
              <w:rPr>
                <w:b w:val="0"/>
              </w:rPr>
              <w:t>Successful login, IAM policy change, and sensitive-data access added to timeline.</w:t>
            </w:r>
          </w:p>
        </w:tc>
      </w:tr>
      <w:tr>
        <w:tc>
          <w:tcPr>
            <w:tcW w:type="dxa" w:w="5040"/>
            <w:vAlign w:val="center"/>
          </w:tcPr>
          <w:p>
            <w:pPr>
              <w:spacing w:after="0"/>
            </w:pPr>
            <w:r/>
            <w:r>
              <w:rPr>
                <w:b w:val="0"/>
              </w:rPr>
              <w:t>Escalation</w:t>
            </w:r>
          </w:p>
        </w:tc>
        <w:tc>
          <w:tcPr>
            <w:tcW w:type="dxa" w:w="5040"/>
            <w:vAlign w:val="center"/>
          </w:tcPr>
          <w:p>
            <w:pPr>
              <w:spacing w:after="0"/>
            </w:pPr>
            <w:r/>
            <w:r>
              <w:rPr>
                <w:b w:val="0"/>
              </w:rPr>
              <w:t>Priority raised; session/IAM details to be checked; authorization to be verified; evidence to be preserved.</w:t>
            </w:r>
          </w:p>
        </w:tc>
      </w:tr>
      <w:tr>
        <w:tc>
          <w:tcPr>
            <w:tcW w:type="dxa" w:w="5040"/>
            <w:vAlign w:val="center"/>
          </w:tcPr>
          <w:p>
            <w:pPr>
              <w:spacing w:after="0"/>
            </w:pPr>
            <w:r/>
            <w:r>
              <w:rPr>
                <w:b w:val="0"/>
              </w:rPr>
              <w:t>Response</w:t>
            </w:r>
          </w:p>
        </w:tc>
        <w:tc>
          <w:tcPr>
            <w:tcW w:type="dxa" w:w="5040"/>
            <w:vAlign w:val="center"/>
          </w:tcPr>
          <w:p>
            <w:pPr>
              <w:spacing w:after="0"/>
            </w:pPr>
            <w:r/>
            <w:r>
              <w:rPr>
                <w:b w:val="0"/>
              </w:rPr>
              <w:t>Unauthorized IAM change confirmed in scenario. Authorized containment initiated.</w:t>
            </w:r>
          </w:p>
        </w:tc>
      </w:tr>
      <w:tr>
        <w:tc>
          <w:tcPr>
            <w:tcW w:type="dxa" w:w="5040"/>
            <w:vAlign w:val="center"/>
          </w:tcPr>
          <w:p>
            <w:pPr>
              <w:spacing w:after="0"/>
            </w:pPr>
            <w:r/>
            <w:r>
              <w:rPr>
                <w:b w:val="0"/>
              </w:rPr>
              <w:t>Closure assessment</w:t>
            </w:r>
          </w:p>
        </w:tc>
        <w:tc>
          <w:tcPr>
            <w:tcW w:type="dxa" w:w="5040"/>
            <w:vAlign w:val="center"/>
          </w:tcPr>
          <w:p>
            <w:pPr>
              <w:spacing w:after="0"/>
            </w:pPr>
            <w:r/>
            <w:r>
              <w:rPr>
                <w:b w:val="0"/>
              </w:rPr>
              <w:t>Containment is treated as verified in the later scenario prompt, but full impact remains unresolved; keep case open/pending.</w:t>
            </w:r>
          </w:p>
        </w:tc>
      </w:tr>
    </w:tbl>
    <w:p>
      <w:pPr>
        <w:spacing w:after="2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IR-2026-001 | Training exercise | Fictional scenario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