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5482"/>
          <w:sz w:val="20"/>
        </w:rPr>
        <w:t>SOC STUDY &amp; INVESTIGATION SUMMARY</w:t>
      </w:r>
    </w:p>
    <w:p>
      <w:pPr>
        <w:pStyle w:val="Title"/>
        <w:jc w:val="center"/>
      </w:pPr>
      <w:r>
        <w:t>Work Performed and Findings Report</w:t>
      </w:r>
    </w:p>
    <w:p>
      <w:pPr>
        <w:jc w:val="center"/>
      </w:pPr>
      <w:r>
        <w:rPr>
          <w:b/>
          <w:sz w:val="22"/>
        </w:rPr>
        <w:t>Case IR-2026-001 | Suspected Account Compromise and Privilege Abuse</w:t>
      </w:r>
    </w:p>
    <w:p>
      <w:pPr>
        <w:jc w:val="center"/>
      </w:pPr>
      <w:r>
        <w:rPr>
          <w:i/>
        </w:rPr>
        <w:t>Prepared as a training record for Modules 15–18: SOC Fundamentals &amp; Incident Response, Log Analysis &amp; Threat Detection, SIEM Engineering, and SOC Operations &amp; Security Monitoring</w:t>
      </w:r>
    </w:p>
    <w:p>
      <w:pPr>
        <w:pStyle w:val="Heading1"/>
      </w:pPr>
      <w:r>
        <w:t>Training scenario notice</w:t>
      </w:r>
    </w:p>
    <w:p>
      <w:r>
        <w:t>This report documents the fictional case and learning work completed in the study session. It is not a report of a real-world breach. The IP address 203.0.113.25 belongs to a documentation/example range and is used only as simulated evidence in this case.</w:t>
      </w:r>
    </w:p>
    <w:p>
      <w:pPr>
        <w:pStyle w:val="Heading1"/>
      </w:pPr>
      <w:r>
        <w:t>1. Purpose and scope</w:t>
      </w:r>
    </w:p>
    <w:p>
      <w:r>
        <w:t>The purpose was to connect four SOC-related modules through one continuous incident scenario, practise the analyst’s triage and investigation decisions, and record the evidence, findings, unresolved questions, response actions, and lessons learned in a report that can be used for revision and explanation during an exam or review.</w:t>
      </w:r>
    </w:p>
    <w:p>
      <w:pPr>
        <w:pStyle w:val="ListBullet"/>
      </w:pPr>
      <w:r>
        <w:t>SOC fundamentals, alert triage, event/alert/incident distinctions, and escalation.</w:t>
      </w:r>
    </w:p>
    <w:p>
      <w:pPr>
        <w:pStyle w:val="ListBullet"/>
      </w:pPr>
      <w:r>
        <w:t>Log analysis, event correlation, evidence handling, and cautious interpretation of activity.</w:t>
      </w:r>
    </w:p>
    <w:p>
      <w:pPr>
        <w:pStyle w:val="ListBullet"/>
      </w:pPr>
      <w:r>
        <w:t>SIEM data flow, detection logic, and conceptual Splunk/ELK mapping.</w:t>
      </w:r>
    </w:p>
    <w:p>
      <w:pPr>
        <w:pStyle w:val="ListBullet"/>
      </w:pPr>
      <w:r>
        <w:t>SOC operations, incident-response lifecycle, metrics, vulnerability-management coordination, and appropriate AI use.</w:t>
      </w:r>
    </w:p>
    <w:p>
      <w:pPr>
        <w:pStyle w:val="Heading1"/>
      </w:pPr>
      <w:r>
        <w:t>2. Work performed</w:t>
      </w:r>
    </w:p>
    <w:p>
      <w:pPr>
        <w:pStyle w:val="ListNumber"/>
      </w:pPr>
      <w:r>
        <w:rPr>
          <w:b/>
        </w:rPr>
        <w:t xml:space="preserve">Built one master incident scenario: </w:t>
      </w:r>
      <w:r>
        <w:t>Used a simulated employee-account compromise with authentication events, an AWS IAM policy change, and sensitive-data access as the common case across all four modules.</w:t>
      </w:r>
    </w:p>
    <w:p>
      <w:pPr>
        <w:pStyle w:val="ListNumber"/>
      </w:pPr>
      <w:r>
        <w:rPr>
          <w:b/>
        </w:rPr>
        <w:t xml:space="preserve">Practised alert validation: </w:t>
      </w:r>
      <w:r>
        <w:t>Reviewed repeated failed logins followed by a successful login and treated them as signals requiring correlation and validation—not automatic proof of a breach by themselves.</w:t>
      </w:r>
    </w:p>
    <w:p>
      <w:pPr>
        <w:pStyle w:val="ListNumber"/>
      </w:pPr>
      <w:r>
        <w:rPr>
          <w:b/>
        </w:rPr>
        <w:t xml:space="preserve">Correlated logs across sources: </w:t>
      </w:r>
      <w:r>
        <w:t>Connected authentication records with AWS CloudTrail activity and cloud data-access logs to build a timeline and understand the account/session context.</w:t>
      </w:r>
    </w:p>
    <w:p>
      <w:pPr>
        <w:pStyle w:val="ListNumber"/>
      </w:pPr>
      <w:r>
        <w:rPr>
          <w:b/>
        </w:rPr>
        <w:t xml:space="preserve">Assessed privilege-related activity: </w:t>
      </w:r>
      <w:r>
        <w:t>Checked whether the IAM policy change was authorised. In the scenario, the change was later confirmed to be unauthorised.</w:t>
      </w:r>
    </w:p>
    <w:p>
      <w:pPr>
        <w:pStyle w:val="ListNumber"/>
      </w:pPr>
      <w:r>
        <w:rPr>
          <w:b/>
        </w:rPr>
        <w:t xml:space="preserve">Considered evidence handling: </w:t>
      </w:r>
      <w:r>
        <w:t>Recorded the need to preserve relevant logs and timestamps, maintain a clear investigation trail, and avoid unsupported conclusions.</w:t>
      </w:r>
    </w:p>
    <w:p>
      <w:pPr>
        <w:pStyle w:val="ListNumber"/>
      </w:pPr>
      <w:r>
        <w:rPr>
          <w:b/>
        </w:rPr>
        <w:t xml:space="preserve">Mapped the SIEM pipeline: </w:t>
      </w:r>
      <w:r>
        <w:t>Reviewed collection, ingestion, parsing, normalization, storage/indexing, correlation, alert generation, and investigation.</w:t>
      </w:r>
    </w:p>
    <w:p>
      <w:pPr>
        <w:pStyle w:val="ListNumber"/>
      </w:pPr>
      <w:r>
        <w:rPr>
          <w:b/>
        </w:rPr>
        <w:t xml:space="preserve">Compared SIEM concepts: </w:t>
      </w:r>
      <w:r>
        <w:t>Connected Splunk’s SPL search approach with the ELK components: Elasticsearch for indexing/search, Logstash for processing, and Kibana for visualization.</w:t>
      </w:r>
    </w:p>
    <w:p>
      <w:pPr>
        <w:pStyle w:val="ListNumber"/>
      </w:pPr>
      <w:r>
        <w:rPr>
          <w:b/>
        </w:rPr>
        <w:t xml:space="preserve">Applied the incident-response lifecycle: </w:t>
      </w:r>
      <w:r>
        <w:t>Considered preparation, identification, containment, eradication, recovery, and lessons learned, while recognising that documentation and evidence preservation continue throughout.</w:t>
      </w:r>
    </w:p>
    <w:p>
      <w:pPr>
        <w:pStyle w:val="ListNumber"/>
      </w:pPr>
      <w:r>
        <w:rPr>
          <w:b/>
        </w:rPr>
        <w:t xml:space="preserve">Made response and closure decisions: </w:t>
      </w:r>
      <w:r>
        <w:t>Prioritised containment and escalation, then kept the case open pending a fuller impact assessment rather than closing it merely because suspicious access stopped.</w:t>
      </w:r>
    </w:p>
    <w:p>
      <w:pPr>
        <w:pStyle w:val="ListNumber"/>
      </w:pPr>
      <w:r>
        <w:rPr>
          <w:b/>
        </w:rPr>
        <w:t xml:space="preserve">Recorded limits and lessons: </w:t>
      </w:r>
      <w:r>
        <w:t>Separated confirmed scenario facts from assumptions, unresolved issues, and actions that still require evidence.</w:t>
      </w:r>
    </w:p>
    <w:p>
      <w:pPr>
        <w:pStyle w:val="Heading1"/>
      </w:pPr>
      <w:r>
        <w:t>3. Simulated evidence and timeline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D9EAF7"/>
          </w:tcPr>
          <w:p>
            <w:pPr>
              <w:spacing w:after="0"/>
            </w:pPr>
            <w:r/>
            <w:r>
              <w:rPr>
                <w:rFonts w:ascii="Aptos" w:hAnsi="Aptos"/>
                <w:b/>
                <w:sz w:val="17"/>
              </w:rPr>
              <w:t>Time</w:t>
            </w:r>
          </w:p>
        </w:tc>
        <w:tc>
          <w:tcPr>
            <w:tcW w:type="dxa" w:w="1656"/>
            <w:vAlign w:val="center"/>
            <w:shd w:fill="D9EAF7"/>
          </w:tcPr>
          <w:p>
            <w:pPr>
              <w:spacing w:after="0"/>
            </w:pPr>
            <w:r/>
            <w:r>
              <w:rPr>
                <w:rFonts w:ascii="Aptos" w:hAnsi="Aptos"/>
                <w:b/>
                <w:sz w:val="17"/>
              </w:rPr>
              <w:t>Source</w:t>
            </w:r>
          </w:p>
        </w:tc>
        <w:tc>
          <w:tcPr>
            <w:tcW w:type="dxa" w:w="3168"/>
            <w:vAlign w:val="center"/>
            <w:shd w:fill="D9EAF7"/>
          </w:tcPr>
          <w:p>
            <w:pPr>
              <w:spacing w:after="0"/>
            </w:pPr>
            <w:r/>
            <w:r>
              <w:rPr>
                <w:rFonts w:ascii="Aptos" w:hAnsi="Aptos"/>
                <w:b/>
                <w:sz w:val="17"/>
              </w:rPr>
              <w:t>Observed event</w:t>
            </w:r>
          </w:p>
        </w:tc>
        <w:tc>
          <w:tcPr>
            <w:tcW w:type="dxa" w:w="3600"/>
            <w:vAlign w:val="center"/>
            <w:shd w:fill="D9EAF7"/>
          </w:tcPr>
          <w:p>
            <w:pPr>
              <w:spacing w:after="0"/>
            </w:pPr>
            <w:r/>
            <w:r>
              <w:rPr>
                <w:rFonts w:ascii="Aptos" w:hAnsi="Aptos"/>
                <w:b/>
                <w:sz w:val="17"/>
              </w:rPr>
              <w:t>Analyst interpretation</w:t>
            </w:r>
          </w:p>
        </w:tc>
      </w:tr>
      <w:tr>
        <w:tc>
          <w:tcPr>
            <w:tcW w:type="dxa" w:w="1152"/>
            <w:vAlign w:val="center"/>
          </w:tcPr>
          <w:p>
            <w:pPr>
              <w:spacing w:after="0"/>
            </w:pPr>
            <w:r/>
            <w:r>
              <w:rPr>
                <w:rFonts w:ascii="Aptos" w:hAnsi="Aptos"/>
                <w:b w:val="0"/>
                <w:sz w:val="17"/>
              </w:rPr>
              <w:t>09:10–09:15</w:t>
            </w:r>
          </w:p>
        </w:tc>
        <w:tc>
          <w:tcPr>
            <w:tcW w:type="dxa" w:w="1656"/>
            <w:vAlign w:val="center"/>
          </w:tcPr>
          <w:p>
            <w:pPr>
              <w:spacing w:after="0"/>
            </w:pPr>
            <w:r/>
            <w:r>
              <w:rPr>
                <w:rFonts w:ascii="Aptos" w:hAnsi="Aptos"/>
                <w:b w:val="0"/>
                <w:sz w:val="17"/>
              </w:rPr>
              <w:t>Authentication logs</w:t>
            </w:r>
          </w:p>
        </w:tc>
        <w:tc>
          <w:tcPr>
            <w:tcW w:type="dxa" w:w="3168"/>
            <w:vAlign w:val="center"/>
          </w:tcPr>
          <w:p>
            <w:pPr>
              <w:spacing w:after="0"/>
            </w:pPr>
            <w:r/>
            <w:r>
              <w:rPr>
                <w:rFonts w:ascii="Aptos" w:hAnsi="Aptos"/>
                <w:b w:val="0"/>
                <w:sz w:val="17"/>
              </w:rPr>
              <w:t>12 failed login attempts for employee01 from 203.0.113.25.</w:t>
            </w:r>
          </w:p>
        </w:tc>
        <w:tc>
          <w:tcPr>
            <w:tcW w:type="dxa" w:w="3600"/>
            <w:vAlign w:val="center"/>
          </w:tcPr>
          <w:p>
            <w:pPr>
              <w:spacing w:after="0"/>
            </w:pPr>
            <w:r/>
            <w:r>
              <w:rPr>
                <w:rFonts w:ascii="Aptos" w:hAnsi="Aptos"/>
                <w:b w:val="0"/>
                <w:sz w:val="17"/>
              </w:rPr>
              <w:t>Suspicious authentication pattern; investigate and correlate.</w:t>
            </w:r>
          </w:p>
        </w:tc>
      </w:tr>
      <w:tr>
        <w:tc>
          <w:tcPr>
            <w:tcW w:type="dxa" w:w="1152"/>
            <w:vAlign w:val="center"/>
          </w:tcPr>
          <w:p>
            <w:pPr>
              <w:spacing w:after="0"/>
            </w:pPr>
            <w:r/>
            <w:r>
              <w:rPr>
                <w:rFonts w:ascii="Aptos" w:hAnsi="Aptos"/>
                <w:b w:val="0"/>
                <w:sz w:val="17"/>
              </w:rPr>
              <w:t>09:16</w:t>
            </w:r>
          </w:p>
        </w:tc>
        <w:tc>
          <w:tcPr>
            <w:tcW w:type="dxa" w:w="1656"/>
            <w:vAlign w:val="center"/>
          </w:tcPr>
          <w:p>
            <w:pPr>
              <w:spacing w:after="0"/>
            </w:pPr>
            <w:r/>
            <w:r>
              <w:rPr>
                <w:rFonts w:ascii="Aptos" w:hAnsi="Aptos"/>
                <w:b w:val="0"/>
                <w:sz w:val="17"/>
              </w:rPr>
              <w:t>Authentication logs</w:t>
            </w:r>
          </w:p>
        </w:tc>
        <w:tc>
          <w:tcPr>
            <w:tcW w:type="dxa" w:w="3168"/>
            <w:vAlign w:val="center"/>
          </w:tcPr>
          <w:p>
            <w:pPr>
              <w:spacing w:after="0"/>
            </w:pPr>
            <w:r/>
            <w:r>
              <w:rPr>
                <w:rFonts w:ascii="Aptos" w:hAnsi="Aptos"/>
                <w:b w:val="0"/>
                <w:sz w:val="17"/>
              </w:rPr>
              <w:t>Successful login for the same account from the same unfamiliar source IP.</w:t>
            </w:r>
          </w:p>
        </w:tc>
        <w:tc>
          <w:tcPr>
            <w:tcW w:type="dxa" w:w="3600"/>
            <w:vAlign w:val="center"/>
          </w:tcPr>
          <w:p>
            <w:pPr>
              <w:spacing w:after="0"/>
            </w:pPr>
            <w:r/>
            <w:r>
              <w:rPr>
                <w:rFonts w:ascii="Aptos" w:hAnsi="Aptos"/>
                <w:b w:val="0"/>
                <w:sz w:val="17"/>
              </w:rPr>
              <w:t>Raises concern when considered with the preceding failures; not conclusive alone.</w:t>
            </w:r>
          </w:p>
        </w:tc>
      </w:tr>
      <w:tr>
        <w:tc>
          <w:tcPr>
            <w:tcW w:type="dxa" w:w="1152"/>
            <w:vAlign w:val="center"/>
          </w:tcPr>
          <w:p>
            <w:pPr>
              <w:spacing w:after="0"/>
            </w:pPr>
            <w:r/>
            <w:r>
              <w:rPr>
                <w:rFonts w:ascii="Aptos" w:hAnsi="Aptos"/>
                <w:b w:val="0"/>
                <w:sz w:val="17"/>
              </w:rPr>
              <w:t>09:19</w:t>
            </w:r>
          </w:p>
        </w:tc>
        <w:tc>
          <w:tcPr>
            <w:tcW w:type="dxa" w:w="1656"/>
            <w:vAlign w:val="center"/>
          </w:tcPr>
          <w:p>
            <w:pPr>
              <w:spacing w:after="0"/>
            </w:pPr>
            <w:r/>
            <w:r>
              <w:rPr>
                <w:rFonts w:ascii="Aptos" w:hAnsi="Aptos"/>
                <w:b w:val="0"/>
                <w:sz w:val="17"/>
              </w:rPr>
              <w:t>AWS CloudTrail</w:t>
            </w:r>
          </w:p>
        </w:tc>
        <w:tc>
          <w:tcPr>
            <w:tcW w:type="dxa" w:w="3168"/>
            <w:vAlign w:val="center"/>
          </w:tcPr>
          <w:p>
            <w:pPr>
              <w:spacing w:after="0"/>
            </w:pPr>
            <w:r/>
            <w:r>
              <w:rPr>
                <w:rFonts w:ascii="Aptos" w:hAnsi="Aptos"/>
                <w:b w:val="0"/>
                <w:sz w:val="17"/>
              </w:rPr>
              <w:t>IAM policy change associated with the account/session.</w:t>
            </w:r>
          </w:p>
        </w:tc>
        <w:tc>
          <w:tcPr>
            <w:tcW w:type="dxa" w:w="3600"/>
            <w:vAlign w:val="center"/>
          </w:tcPr>
          <w:p>
            <w:pPr>
              <w:spacing w:after="0"/>
            </w:pPr>
            <w:r/>
            <w:r>
              <w:rPr>
                <w:rFonts w:ascii="Aptos" w:hAnsi="Aptos"/>
                <w:b w:val="0"/>
                <w:sz w:val="17"/>
              </w:rPr>
              <w:t>Privilege-related activity requires validation against approved change records and identity/session details.</w:t>
            </w:r>
          </w:p>
        </w:tc>
      </w:tr>
      <w:tr>
        <w:tc>
          <w:tcPr>
            <w:tcW w:type="dxa" w:w="1152"/>
            <w:vAlign w:val="center"/>
          </w:tcPr>
          <w:p>
            <w:pPr>
              <w:spacing w:after="0"/>
            </w:pPr>
            <w:r/>
            <w:r>
              <w:rPr>
                <w:rFonts w:ascii="Aptos" w:hAnsi="Aptos"/>
                <w:b w:val="0"/>
                <w:sz w:val="17"/>
              </w:rPr>
              <w:t>09:22</w:t>
            </w:r>
          </w:p>
        </w:tc>
        <w:tc>
          <w:tcPr>
            <w:tcW w:type="dxa" w:w="1656"/>
            <w:vAlign w:val="center"/>
          </w:tcPr>
          <w:p>
            <w:pPr>
              <w:spacing w:after="0"/>
            </w:pPr>
            <w:r/>
            <w:r>
              <w:rPr>
                <w:rFonts w:ascii="Aptos" w:hAnsi="Aptos"/>
                <w:b w:val="0"/>
                <w:sz w:val="17"/>
              </w:rPr>
              <w:t>Cloud data-access logs</w:t>
            </w:r>
          </w:p>
        </w:tc>
        <w:tc>
          <w:tcPr>
            <w:tcW w:type="dxa" w:w="3168"/>
            <w:vAlign w:val="center"/>
          </w:tcPr>
          <w:p>
            <w:pPr>
              <w:spacing w:after="0"/>
            </w:pPr>
            <w:r/>
            <w:r>
              <w:rPr>
                <w:rFonts w:ascii="Aptos" w:hAnsi="Aptos"/>
                <w:b w:val="0"/>
                <w:sz w:val="17"/>
              </w:rPr>
              <w:t>Sensitive-data access recorded.</w:t>
            </w:r>
          </w:p>
        </w:tc>
        <w:tc>
          <w:tcPr>
            <w:tcW w:type="dxa" w:w="3600"/>
            <w:vAlign w:val="center"/>
          </w:tcPr>
          <w:p>
            <w:pPr>
              <w:spacing w:after="0"/>
            </w:pPr>
            <w:r/>
            <w:r>
              <w:rPr>
                <w:rFonts w:ascii="Aptos" w:hAnsi="Aptos"/>
                <w:b w:val="0"/>
                <w:sz w:val="17"/>
              </w:rPr>
              <w:t>Confirms access activity in the scenario, but does not by itself prove data exfiltration.</w:t>
            </w:r>
          </w:p>
        </w:tc>
      </w:tr>
    </w:tbl>
    <w:p>
      <w:pPr>
        <w:pStyle w:val="Heading1"/>
      </w:pPr>
      <w:r>
        <w:t>4. Findings</w:t>
      </w:r>
    </w:p>
    <w:p>
      <w:pPr>
        <w:pStyle w:val="ListBullet"/>
      </w:pPr>
      <w:r>
        <w:rPr>
          <w:b/>
        </w:rPr>
        <w:t xml:space="preserve">Confirmed within the training scenario — </w:t>
      </w:r>
      <w:r>
        <w:t>The case contains a suspicious authentication sequence followed by a successful login; a related IAM policy change; and sensitive-data access. The IAM policy change was subsequently established as unauthorised.</w:t>
      </w:r>
    </w:p>
    <w:p>
      <w:pPr>
        <w:pStyle w:val="ListBullet"/>
      </w:pPr>
      <w:r>
        <w:rPr>
          <w:b/>
        </w:rPr>
        <w:t xml:space="preserve">High-priority concern — </w:t>
      </w:r>
      <w:r>
        <w:t>Unauthorised IAM policy modification can increase privileges or weaken access controls. It warrants prompt escalation and containment according to the organisation’s playbook.</w:t>
      </w:r>
    </w:p>
    <w:p>
      <w:pPr>
        <w:pStyle w:val="ListBullet"/>
      </w:pPr>
      <w:r>
        <w:rPr>
          <w:b/>
        </w:rPr>
        <w:t xml:space="preserve">Cross-source correlation is valuable — </w:t>
      </w:r>
      <w:r>
        <w:t>The sequence becomes more meaningful when authentication, CloudTrail, and data-access records are examined together instead of treating each log entry independently.</w:t>
      </w:r>
    </w:p>
    <w:p>
      <w:pPr>
        <w:pStyle w:val="ListBullet"/>
      </w:pPr>
      <w:r>
        <w:rPr>
          <w:b/>
        </w:rPr>
        <w:t xml:space="preserve">Data access is not proof of exfiltration — </w:t>
      </w:r>
      <w:r>
        <w:t>The available scenario evidence records sensitive-data access, but it does not establish that data was copied out or exfiltrated.</w:t>
      </w:r>
    </w:p>
    <w:p>
      <w:pPr>
        <w:pStyle w:val="ListBullet"/>
      </w:pPr>
      <w:r>
        <w:rPr>
          <w:b/>
        </w:rPr>
        <w:t xml:space="preserve">Some key questions remain unanswered — </w:t>
      </w:r>
      <w:r>
        <w:t>The initial access method, complete scope of account/session activity, whether the policy change was used for further actions, and whether any data left the environment remain unresolved.</w:t>
      </w:r>
    </w:p>
    <w:p>
      <w:pPr>
        <w:pStyle w:val="ListBullet"/>
      </w:pPr>
      <w:r>
        <w:rPr>
          <w:b/>
        </w:rPr>
        <w:t xml:space="preserve">Case disposition — </w:t>
      </w:r>
      <w:r>
        <w:t>Open / pending full impact assessment. The training severity is labelled High for illustration; a real organisation must apply its own severity matrix and business-impact criteria.</w:t>
      </w:r>
    </w:p>
    <w:p>
      <w:pPr>
        <w:pStyle w:val="Heading1"/>
      </w:pPr>
      <w:r>
        <w:t>5. Triage and response decisions practised</w:t>
      </w:r>
    </w:p>
    <w:p>
      <w:pPr>
        <w:pStyle w:val="ListNumber"/>
      </w:pPr>
      <w:r>
        <w:t>Validate the alert and correlate relevant authentication records before deciding whether it is benign or malicious.</w:t>
      </w:r>
    </w:p>
    <w:p>
      <w:pPr>
        <w:pStyle w:val="ListNumber"/>
      </w:pPr>
      <w:r>
        <w:t>Increase priority when the successful login is followed by privileged IAM activity; verify the account, session, source, and change authorisation.</w:t>
      </w:r>
    </w:p>
    <w:p>
      <w:pPr>
        <w:pStyle w:val="ListNumber"/>
      </w:pPr>
      <w:r>
        <w:t>Escalate and preserve evidence, then follow the incident-response playbook to contain suspicious access promptly.</w:t>
      </w:r>
    </w:p>
    <w:p>
      <w:pPr>
        <w:pStyle w:val="ListNumber"/>
      </w:pPr>
      <w:r>
        <w:t>Coordinate remediation with the appropriate identity/cloud administrators; do not make destructive changes before considering evidence preservation and operational impact.</w:t>
      </w:r>
    </w:p>
    <w:p>
      <w:pPr>
        <w:pStyle w:val="ListNumber"/>
      </w:pPr>
      <w:r>
        <w:t>Keep the incident open until the scope and impact have been assessed and documented, even if the suspicious activity has stopped.</w:t>
      </w:r>
    </w:p>
    <w:p>
      <w:pPr>
        <w:pStyle w:val="Heading1"/>
      </w:pPr>
      <w:r>
        <w:t>6. Concepts connected to the case</w:t>
      </w:r>
    </w:p>
    <w:p>
      <w:pPr>
        <w:pStyle w:val="ListBullet"/>
      </w:pPr>
      <w:r>
        <w:rPr>
          <w:b/>
        </w:rPr>
        <w:t xml:space="preserve">Event, alert, incident: </w:t>
      </w:r>
      <w:r>
        <w:t>An event is a recorded activity; an alert is a signal raised by detection logic; an incident is a confirmed or sufficiently credible security matter requiring coordinated response. The exact operational definitions depend on the organisation.</w:t>
      </w:r>
    </w:p>
    <w:p>
      <w:pPr>
        <w:pStyle w:val="ListBullet"/>
      </w:pPr>
      <w:r>
        <w:rPr>
          <w:b/>
        </w:rPr>
        <w:t xml:space="preserve">Parsing and normalization: </w:t>
      </w:r>
      <w:r>
        <w:t>Parsing extracts useful fields from raw logs. Normalization maps fields into consistent names and formats so that data from different sources can be correlated.</w:t>
      </w:r>
    </w:p>
    <w:p>
      <w:pPr>
        <w:pStyle w:val="ListBullet"/>
      </w:pPr>
      <w:r>
        <w:rPr>
          <w:b/>
        </w:rPr>
        <w:t xml:space="preserve">SIEM flow: </w:t>
      </w:r>
      <w:r>
        <w:t>Collection → ingestion → parsing → normalization → storage/indexing → correlation → alert generation → investigation.</w:t>
      </w:r>
    </w:p>
    <w:p>
      <w:pPr>
        <w:pStyle w:val="ListBullet"/>
      </w:pPr>
      <w:r>
        <w:rPr>
          <w:b/>
        </w:rPr>
        <w:t xml:space="preserve">Splunk and ELK: </w:t>
      </w:r>
      <w:r>
        <w:t>Splunk searches data with SPL. In the ELK stack, Elasticsearch indexes/searches data, Logstash processes/transforms data, and Kibana supports visualization and investigation.</w:t>
      </w:r>
    </w:p>
    <w:p>
      <w:pPr>
        <w:pStyle w:val="ListBullet"/>
      </w:pPr>
      <w:r>
        <w:rPr>
          <w:b/>
        </w:rPr>
        <w:t xml:space="preserve">Cloud logs: </w:t>
      </w:r>
      <w:r>
        <w:t>AWS CloudTrail records AWS API activity; cloud data-access logs can help show access to data. GuardDuty findings can provide additional detection context, but any finding still needs investigation.</w:t>
      </w:r>
    </w:p>
    <w:p>
      <w:pPr>
        <w:pStyle w:val="ListBullet"/>
      </w:pPr>
      <w:r>
        <w:rPr>
          <w:b/>
        </w:rPr>
        <w:t xml:space="preserve">SOC roles: </w:t>
      </w:r>
      <w:r>
        <w:t>Tier 1 commonly performs initial triage; Tier 2 commonly conducts deeper investigation. Responsibilities vary by organisation.</w:t>
      </w:r>
    </w:p>
    <w:p>
      <w:pPr>
        <w:pStyle w:val="ListBullet"/>
      </w:pPr>
      <w:r>
        <w:rPr>
          <w:b/>
        </w:rPr>
        <w:t xml:space="preserve">Metrics: </w:t>
      </w:r>
      <w:r>
        <w:t>MTTD measures mean time to detect. MTTR needs a clearly defined endpoint, such as response or remediation, because organisations use the term differently.</w:t>
      </w:r>
    </w:p>
    <w:p>
      <w:pPr>
        <w:pStyle w:val="ListBullet"/>
      </w:pPr>
      <w:r>
        <w:rPr>
          <w:b/>
        </w:rPr>
        <w:t xml:space="preserve">Vulnerability assessment and SOC: </w:t>
      </w:r>
      <w:r>
        <w:t>A vulnerability assessment identifies weaknesses proactively. A vulnerability finding alone does not prove exploitation; SOC telemetry helps investigate whether suspicious activity occurred.</w:t>
      </w:r>
    </w:p>
    <w:p>
      <w:pPr>
        <w:pStyle w:val="ListBullet"/>
      </w:pPr>
      <w:r>
        <w:rPr>
          <w:b/>
        </w:rPr>
        <w:t xml:space="preserve">AI in SOC: </w:t>
      </w:r>
      <w:r>
        <w:t>AI can assist with summaries, enrichment, query suggestions, and report drafting. Analysts must verify outputs against original evidence and must not treat generated text as proof.</w:t>
      </w:r>
    </w:p>
    <w:p>
      <w:pPr>
        <w:pStyle w:val="Heading1"/>
      </w:pPr>
      <w:r>
        <w:t>7. Outstanding investigation questions</w:t>
      </w:r>
    </w:p>
    <w:p>
      <w:pPr>
        <w:pStyle w:val="ListBullet"/>
      </w:pPr>
      <w:r>
        <w:t>What authentication method and session context were used for the successful login?</w:t>
      </w:r>
    </w:p>
    <w:p>
      <w:pPr>
        <w:pStyle w:val="ListBullet"/>
      </w:pPr>
      <w:r>
        <w:t>Was the source or device previously associated with employee01, and was MFA satisfied?</w:t>
      </w:r>
    </w:p>
    <w:p>
      <w:pPr>
        <w:pStyle w:val="ListBullet"/>
      </w:pPr>
      <w:r>
        <w:t>Which exact IAM policy was changed, what permissions did it grant, and what API principal made the change?</w:t>
      </w:r>
    </w:p>
    <w:p>
      <w:pPr>
        <w:pStyle w:val="ListBullet"/>
      </w:pPr>
      <w:r>
        <w:t>Was there an approved change request or administrator action that could explain the policy modification?</w:t>
      </w:r>
    </w:p>
    <w:p>
      <w:pPr>
        <w:pStyle w:val="ListBullet"/>
      </w:pPr>
      <w:r>
        <w:t>What objects or records were accessed, in what volume, and were there subsequent downloads, transfers, or unusual outbound connections?</w:t>
      </w:r>
    </w:p>
    <w:p>
      <w:pPr>
        <w:pStyle w:val="ListBullet"/>
      </w:pPr>
      <w:r>
        <w:t>Were other accounts, roles, keys, workloads, or resources affected?</w:t>
      </w:r>
    </w:p>
    <w:p>
      <w:pPr>
        <w:pStyle w:val="ListBullet"/>
      </w:pPr>
      <w:r>
        <w:t>What is the confirmed business impact, and what evidence supports the final closure decision?</w:t>
      </w:r>
    </w:p>
    <w:p>
      <w:pPr>
        <w:pStyle w:val="Heading1"/>
      </w:pPr>
      <w:r>
        <w:t>8. Recommended next steps</w:t>
      </w:r>
    </w:p>
    <w:p>
      <w:pPr>
        <w:pStyle w:val="ListNumber"/>
      </w:pPr>
      <w:r>
        <w:t>Preserve relevant authentication, CloudTrail, IAM, data-access, and network logs with timestamps and source context.</w:t>
      </w:r>
    </w:p>
    <w:p>
      <w:pPr>
        <w:pStyle w:val="ListNumber"/>
      </w:pPr>
      <w:r>
        <w:t>Confirm the account and session identity, review MFA and device context, and check approved change records.</w:t>
      </w:r>
    </w:p>
    <w:p>
      <w:pPr>
        <w:pStyle w:val="ListNumber"/>
      </w:pPr>
      <w:r>
        <w:t>Review the exact IAM policy diff and identify any follow-on API calls or persistence mechanisms.</w:t>
      </w:r>
    </w:p>
    <w:p>
      <w:pPr>
        <w:pStyle w:val="ListNumber"/>
      </w:pPr>
      <w:r>
        <w:t>Contain the suspicious identity/session and revert unauthorised changes through the approved response process, after coordinating with the system owner.</w:t>
      </w:r>
    </w:p>
    <w:p>
      <w:pPr>
        <w:pStyle w:val="ListNumber"/>
      </w:pPr>
      <w:r>
        <w:t>Rotate or revoke affected credentials where justified by the evidence and playbook; verify that access is restored only as intended.</w:t>
      </w:r>
    </w:p>
    <w:p>
      <w:pPr>
        <w:pStyle w:val="ListNumber"/>
      </w:pPr>
      <w:r>
        <w:t>Scope data access and investigate for evidence of transfer or exfiltration before making any claim about data loss.</w:t>
      </w:r>
    </w:p>
    <w:p>
      <w:pPr>
        <w:pStyle w:val="ListNumber"/>
      </w:pPr>
      <w:r>
        <w:t>Document every action, owner, timestamp, evidence reference, and decision; close only when the organisation’s closure criteria are met.</w:t>
      </w:r>
    </w:p>
    <w:p>
      <w:pPr>
        <w:pStyle w:val="Heading1"/>
      </w:pPr>
      <w:r>
        <w:t>9. Overall conclusion</w:t>
      </w:r>
    </w:p>
    <w:p>
      <w:r>
        <w:t>The work demonstrated how one incident can connect SOC triage, log analysis, SIEM engineering, and incident response. The strongest finding in the fictional case is the unauthorised IAM policy change associated with a suspicious authentication sequence and subsequent sensitive-data access. This supports escalation and containment, but the evidence recorded so far does not establish the initial access method, full scope, or data exfiltration. The case therefore remains open pending a complete impact assessment. The main analytical lesson is to correlate evidence across sources, preserve the investigation trail, and state only what the logs support.</w:t>
      </w:r>
    </w:p>
    <w:p>
      <w:pPr>
        <w:pStyle w:val="Heading1"/>
      </w:pPr>
      <w:r>
        <w:t>10. Quick revision summary</w:t>
      </w:r>
    </w:p>
    <w:p>
      <w:pPr>
        <w:pStyle w:val="ListBullet"/>
      </w:pPr>
      <w:r>
        <w:t>Do not treat failed logins alone as proof of compromise.</w:t>
      </w:r>
    </w:p>
    <w:p>
      <w:pPr>
        <w:pStyle w:val="ListBullet"/>
      </w:pPr>
      <w:r>
        <w:t>A successful login after repeated failures becomes more concerning when followed by unauthorised privileged activity.</w:t>
      </w:r>
    </w:p>
    <w:p>
      <w:pPr>
        <w:pStyle w:val="ListBullet"/>
      </w:pPr>
      <w:r>
        <w:t>Correlate authentication, cloud control-plane, and data-access logs.</w:t>
      </w:r>
    </w:p>
    <w:p>
      <w:pPr>
        <w:pStyle w:val="ListBullet"/>
      </w:pPr>
      <w:r>
        <w:t>CloudTrail records AWS API activity; data-access logs answer different questions.</w:t>
      </w:r>
    </w:p>
    <w:p>
      <w:pPr>
        <w:pStyle w:val="ListBullet"/>
      </w:pPr>
      <w:r>
        <w:t>Data access does not automatically mean data exfiltration.</w:t>
      </w:r>
    </w:p>
    <w:p>
      <w:pPr>
        <w:pStyle w:val="ListBullet"/>
      </w:pPr>
      <w:r>
        <w:t>Contain promptly, preserve evidence, document decisions, and assess impact before closure.</w:t>
      </w:r>
    </w:p>
    <w:p>
      <w:pPr>
        <w:pStyle w:val="ListBullet"/>
      </w:pPr>
      <w:r>
        <w:t>Use AI as an assistant—not as a substitute for evidence or analyst judgement.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Training document | IR-2026-001 | Fictional scenario — not a real incident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