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BD72C" w14:textId="324D13DF" w:rsidR="00DC13CD" w:rsidRDefault="00DC13CD" w:rsidP="00DC13CD">
      <w:pPr>
        <w:pStyle w:val="Heading1"/>
      </w:pPr>
      <w:r>
        <w:t>TAX REGIME FOR IT AND EDUCATIONAL BENEFITS</w:t>
      </w:r>
    </w:p>
    <w:p w14:paraId="3F77DB70" w14:textId="77777777" w:rsidR="00DC13CD" w:rsidRDefault="00DC13CD" w:rsidP="000E0E05">
      <w:pPr>
        <w:rPr>
          <w:b/>
          <w:bCs/>
        </w:rPr>
      </w:pPr>
    </w:p>
    <w:p w14:paraId="3D62E328" w14:textId="223AA926" w:rsidR="000E0E05" w:rsidRPr="000E0E05" w:rsidRDefault="000E0E05" w:rsidP="000E0E05">
      <w:pPr>
        <w:rPr>
          <w:b/>
          <w:bCs/>
        </w:rPr>
      </w:pPr>
      <w:r w:rsidRPr="000E0E05">
        <w:rPr>
          <w:b/>
          <w:bCs/>
        </w:rPr>
        <w:t>IT Benefits (Tax Regime for IT Professionals)</w:t>
      </w:r>
    </w:p>
    <w:p w14:paraId="15B15657" w14:textId="77777777" w:rsidR="000E0E05" w:rsidRPr="000E0E05" w:rsidRDefault="000E0E05" w:rsidP="000E0E05">
      <w:r w:rsidRPr="000E0E05">
        <w:rPr>
          <w:b/>
          <w:bCs/>
        </w:rPr>
        <w:t>A. Relevant Deductions/Benefits for IT Professionals:</w:t>
      </w:r>
    </w:p>
    <w:p w14:paraId="4F4A1528" w14:textId="77777777" w:rsidR="000E0E05" w:rsidRPr="000E0E05" w:rsidRDefault="000E0E05" w:rsidP="000E0E05">
      <w:pPr>
        <w:numPr>
          <w:ilvl w:val="0"/>
          <w:numId w:val="1"/>
        </w:numPr>
      </w:pPr>
      <w:r w:rsidRPr="000E0E05">
        <w:rPr>
          <w:b/>
          <w:bCs/>
        </w:rPr>
        <w:t>Section 80C</w:t>
      </w:r>
      <w:r w:rsidRPr="000E0E05">
        <w:t>: Deduction of up to ₹1,50,000 for investments in instruments like ELSS (Equity Linked Savings Scheme), EPF, and PPF.</w:t>
      </w:r>
    </w:p>
    <w:p w14:paraId="681A794B" w14:textId="77777777" w:rsidR="000E0E05" w:rsidRPr="000E0E05" w:rsidRDefault="000E0E05" w:rsidP="000E0E05">
      <w:pPr>
        <w:numPr>
          <w:ilvl w:val="0"/>
          <w:numId w:val="1"/>
        </w:numPr>
      </w:pPr>
      <w:r w:rsidRPr="000E0E05">
        <w:rPr>
          <w:b/>
          <w:bCs/>
        </w:rPr>
        <w:t>Section 10(14)</w:t>
      </w:r>
      <w:r w:rsidRPr="000E0E05">
        <w:t>: Special allowances (e.g., internet, phone reimbursements) related to the profession.</w:t>
      </w:r>
    </w:p>
    <w:p w14:paraId="5AAC2350" w14:textId="77777777" w:rsidR="000E0E05" w:rsidRPr="000E0E05" w:rsidRDefault="000E0E05" w:rsidP="000E0E05">
      <w:pPr>
        <w:numPr>
          <w:ilvl w:val="0"/>
          <w:numId w:val="1"/>
        </w:numPr>
      </w:pPr>
      <w:r w:rsidRPr="000E0E05">
        <w:rPr>
          <w:b/>
          <w:bCs/>
        </w:rPr>
        <w:t>Standard Deduction</w:t>
      </w:r>
      <w:r w:rsidRPr="000E0E05">
        <w:t>: ₹50,000 for salaried employees.</w:t>
      </w:r>
    </w:p>
    <w:p w14:paraId="18D39193" w14:textId="77777777" w:rsidR="000E0E05" w:rsidRPr="000E0E05" w:rsidRDefault="000E0E05" w:rsidP="000E0E05">
      <w:pPr>
        <w:numPr>
          <w:ilvl w:val="0"/>
          <w:numId w:val="1"/>
        </w:numPr>
      </w:pPr>
      <w:r w:rsidRPr="000E0E05">
        <w:rPr>
          <w:b/>
          <w:bCs/>
        </w:rPr>
        <w:t>NPS (Section 80CCD)</w:t>
      </w:r>
      <w:r w:rsidRPr="000E0E05">
        <w:t>: Additional ₹50,000 deduction for contributions to the National Pension System.</w:t>
      </w:r>
    </w:p>
    <w:p w14:paraId="07848242" w14:textId="77777777" w:rsidR="000E0E05" w:rsidRPr="000E0E05" w:rsidRDefault="000E0E05" w:rsidP="000E0E05">
      <w:pPr>
        <w:numPr>
          <w:ilvl w:val="0"/>
          <w:numId w:val="1"/>
        </w:numPr>
      </w:pPr>
      <w:r w:rsidRPr="000E0E05">
        <w:rPr>
          <w:b/>
          <w:bCs/>
        </w:rPr>
        <w:t>Section 10(13A)</w:t>
      </w:r>
      <w:r w:rsidRPr="000E0E05">
        <w:t>: House Rent Allowance (HRA) exemptions for those living in rented accommodations.</w:t>
      </w:r>
    </w:p>
    <w:p w14:paraId="0185C6E4" w14:textId="77777777" w:rsidR="000E0E05" w:rsidRPr="000E0E05" w:rsidRDefault="000E0E05" w:rsidP="000E0E05">
      <w:pPr>
        <w:numPr>
          <w:ilvl w:val="0"/>
          <w:numId w:val="1"/>
        </w:numPr>
      </w:pPr>
      <w:r w:rsidRPr="000E0E05">
        <w:rPr>
          <w:b/>
          <w:bCs/>
        </w:rPr>
        <w:t>Leave Travel Allowance (LTA)</w:t>
      </w:r>
      <w:r w:rsidRPr="000E0E05">
        <w:t>: Exemption for travel costs within India twice in a block of four years.</w:t>
      </w:r>
    </w:p>
    <w:p w14:paraId="042BD30D" w14:textId="77777777" w:rsidR="000E0E05" w:rsidRPr="000E0E05" w:rsidRDefault="000E0E05" w:rsidP="000E0E05">
      <w:r w:rsidRPr="000E0E05">
        <w:rPr>
          <w:b/>
          <w:bCs/>
        </w:rPr>
        <w:t>Pros for IT Professionals:</w:t>
      </w:r>
    </w:p>
    <w:p w14:paraId="204C525F" w14:textId="77777777" w:rsidR="000E0E05" w:rsidRPr="000E0E05" w:rsidRDefault="000E0E05" w:rsidP="000E0E05">
      <w:pPr>
        <w:numPr>
          <w:ilvl w:val="0"/>
          <w:numId w:val="2"/>
        </w:numPr>
      </w:pPr>
      <w:r w:rsidRPr="000E0E05">
        <w:t>High flexibility in claiming job-related expenses like professional certifications or home-office setup.</w:t>
      </w:r>
    </w:p>
    <w:p w14:paraId="2B00D1C6" w14:textId="77777777" w:rsidR="000E0E05" w:rsidRPr="000E0E05" w:rsidRDefault="000E0E05" w:rsidP="000E0E05">
      <w:pPr>
        <w:numPr>
          <w:ilvl w:val="0"/>
          <w:numId w:val="2"/>
        </w:numPr>
      </w:pPr>
      <w:r w:rsidRPr="000E0E05">
        <w:t>Suitable for individuals working in private organizations offering allowances for remote work or learning.</w:t>
      </w:r>
    </w:p>
    <w:p w14:paraId="597C6984" w14:textId="77777777" w:rsidR="000E0E05" w:rsidRPr="000E0E05" w:rsidRDefault="000E0E05" w:rsidP="000E0E05">
      <w:r w:rsidRPr="000E0E05">
        <w:rPr>
          <w:b/>
          <w:bCs/>
        </w:rPr>
        <w:t>Cons:</w:t>
      </w:r>
    </w:p>
    <w:p w14:paraId="14E8C137" w14:textId="77777777" w:rsidR="000E0E05" w:rsidRPr="000E0E05" w:rsidRDefault="000E0E05" w:rsidP="000E0E05">
      <w:pPr>
        <w:numPr>
          <w:ilvl w:val="0"/>
          <w:numId w:val="3"/>
        </w:numPr>
      </w:pPr>
      <w:r w:rsidRPr="000E0E05">
        <w:t>Tax structure can get complex if benefits are not claimed effectively.</w:t>
      </w:r>
    </w:p>
    <w:p w14:paraId="40490517" w14:textId="77777777" w:rsidR="000E0E05" w:rsidRPr="000E0E05" w:rsidRDefault="00DC13CD" w:rsidP="000E0E05">
      <w:r>
        <w:pict w14:anchorId="05923293">
          <v:rect id="_x0000_i1025" style="width:0;height:1.5pt" o:hralign="center" o:hrstd="t" o:hr="t" fillcolor="#a0a0a0" stroked="f"/>
        </w:pict>
      </w:r>
    </w:p>
    <w:p w14:paraId="4C552057" w14:textId="77777777" w:rsidR="000E0E05" w:rsidRPr="000E0E05" w:rsidRDefault="000E0E05" w:rsidP="000E0E05">
      <w:pPr>
        <w:rPr>
          <w:b/>
          <w:bCs/>
        </w:rPr>
      </w:pPr>
      <w:r w:rsidRPr="000E0E05">
        <w:rPr>
          <w:b/>
          <w:bCs/>
        </w:rPr>
        <w:t>2. Educational Benefits (Tax Regime for Students/Academicians)</w:t>
      </w:r>
    </w:p>
    <w:p w14:paraId="78C69367" w14:textId="77777777" w:rsidR="000E0E05" w:rsidRPr="000E0E05" w:rsidRDefault="000E0E05" w:rsidP="000E0E05">
      <w:r w:rsidRPr="000E0E05">
        <w:rPr>
          <w:b/>
          <w:bCs/>
        </w:rPr>
        <w:t>A. Relevant Deductions/Benefits for Education:</w:t>
      </w:r>
    </w:p>
    <w:p w14:paraId="7511C289" w14:textId="77777777" w:rsidR="000E0E05" w:rsidRPr="000E0E05" w:rsidRDefault="000E0E05" w:rsidP="000E0E05">
      <w:pPr>
        <w:numPr>
          <w:ilvl w:val="0"/>
          <w:numId w:val="4"/>
        </w:numPr>
      </w:pPr>
      <w:r w:rsidRPr="000E0E05">
        <w:rPr>
          <w:b/>
          <w:bCs/>
        </w:rPr>
        <w:t>Section 80E</w:t>
      </w:r>
      <w:r w:rsidRPr="000E0E05">
        <w:t>: Deduction of interest on education loans for higher studies with no upper limit (for 8 consecutive years).</w:t>
      </w:r>
    </w:p>
    <w:p w14:paraId="4561062B" w14:textId="77777777" w:rsidR="000E0E05" w:rsidRPr="000E0E05" w:rsidRDefault="000E0E05" w:rsidP="000E0E05">
      <w:pPr>
        <w:numPr>
          <w:ilvl w:val="0"/>
          <w:numId w:val="4"/>
        </w:numPr>
      </w:pPr>
      <w:r w:rsidRPr="000E0E05">
        <w:rPr>
          <w:b/>
          <w:bCs/>
        </w:rPr>
        <w:t>Scholarships (Section 10(16))</w:t>
      </w:r>
      <w:r w:rsidRPr="000E0E05">
        <w:t>: Fully exempt from tax if awarded for merit or research.</w:t>
      </w:r>
    </w:p>
    <w:p w14:paraId="363677F6" w14:textId="77777777" w:rsidR="000E0E05" w:rsidRPr="000E0E05" w:rsidRDefault="000E0E05" w:rsidP="000E0E05">
      <w:pPr>
        <w:numPr>
          <w:ilvl w:val="0"/>
          <w:numId w:val="4"/>
        </w:numPr>
      </w:pPr>
      <w:r w:rsidRPr="000E0E05">
        <w:rPr>
          <w:b/>
          <w:bCs/>
        </w:rPr>
        <w:t>Children’s Education Allowance (CEA)</w:t>
      </w:r>
      <w:r w:rsidRPr="000E0E05">
        <w:t>: ₹100/month per child (up to 2 children) is tax-exempt.</w:t>
      </w:r>
    </w:p>
    <w:p w14:paraId="1D848F81" w14:textId="77777777" w:rsidR="003D6FD1" w:rsidRDefault="000E0E05" w:rsidP="003D6FD1">
      <w:pPr>
        <w:numPr>
          <w:ilvl w:val="0"/>
          <w:numId w:val="4"/>
        </w:numPr>
      </w:pPr>
      <w:r w:rsidRPr="000E0E05">
        <w:rPr>
          <w:b/>
          <w:bCs/>
        </w:rPr>
        <w:lastRenderedPageBreak/>
        <w:t>Tuition Fee Deduction (Section 80C)</w:t>
      </w:r>
      <w:r w:rsidRPr="000E0E05">
        <w:t>: Up to ₹1,50,000 for tuition fees for up to two children.</w:t>
      </w:r>
    </w:p>
    <w:p w14:paraId="6DCFC2B5" w14:textId="54500960" w:rsidR="000E0E05" w:rsidRPr="000E0E05" w:rsidRDefault="000E0E05" w:rsidP="003D6FD1">
      <w:pPr>
        <w:numPr>
          <w:ilvl w:val="0"/>
          <w:numId w:val="4"/>
        </w:numPr>
      </w:pPr>
      <w:r w:rsidRPr="003D6FD1">
        <w:rPr>
          <w:b/>
          <w:bCs/>
        </w:rPr>
        <w:t>Skill Development Courses</w:t>
      </w:r>
      <w:r w:rsidRPr="000E0E05">
        <w:t>: Deduction under business expenses for self-employed individuals.</w:t>
      </w:r>
    </w:p>
    <w:p w14:paraId="566D86D9" w14:textId="77777777" w:rsidR="000E0E05" w:rsidRPr="000E0E05" w:rsidRDefault="000E0E05" w:rsidP="000E0E05">
      <w:r w:rsidRPr="000E0E05">
        <w:rPr>
          <w:b/>
          <w:bCs/>
        </w:rPr>
        <w:t>Pros for Educational Benefits:</w:t>
      </w:r>
    </w:p>
    <w:p w14:paraId="42DB1EA7" w14:textId="77777777" w:rsidR="000E0E05" w:rsidRPr="000E0E05" w:rsidRDefault="000E0E05" w:rsidP="000E0E05">
      <w:pPr>
        <w:numPr>
          <w:ilvl w:val="0"/>
          <w:numId w:val="5"/>
        </w:numPr>
      </w:pPr>
      <w:r w:rsidRPr="000E0E05">
        <w:t>Encourages further education and skills enhancement.</w:t>
      </w:r>
    </w:p>
    <w:p w14:paraId="6B33D51E" w14:textId="77777777" w:rsidR="000E0E05" w:rsidRPr="000E0E05" w:rsidRDefault="000E0E05" w:rsidP="000E0E05">
      <w:pPr>
        <w:numPr>
          <w:ilvl w:val="0"/>
          <w:numId w:val="5"/>
        </w:numPr>
      </w:pPr>
      <w:r w:rsidRPr="000E0E05">
        <w:t>Suitable for young professionals pursuing career growth while continuing studies.</w:t>
      </w:r>
    </w:p>
    <w:p w14:paraId="3E83C1AE" w14:textId="77777777" w:rsidR="000E0E05" w:rsidRPr="000E0E05" w:rsidRDefault="000E0E05" w:rsidP="000E0E05">
      <w:r w:rsidRPr="000E0E05">
        <w:rPr>
          <w:b/>
          <w:bCs/>
        </w:rPr>
        <w:t>Cons:</w:t>
      </w:r>
    </w:p>
    <w:p w14:paraId="5FAA0BB2" w14:textId="77777777" w:rsidR="000E0E05" w:rsidRPr="000E0E05" w:rsidRDefault="000E0E05" w:rsidP="000E0E05">
      <w:pPr>
        <w:numPr>
          <w:ilvl w:val="0"/>
          <w:numId w:val="6"/>
        </w:numPr>
      </w:pPr>
      <w:r w:rsidRPr="000E0E05">
        <w:t>Limited scope for individuals who are not pursuing higher education.</w:t>
      </w:r>
    </w:p>
    <w:p w14:paraId="198FA38D" w14:textId="77777777" w:rsidR="000E0E05" w:rsidRPr="000E0E05" w:rsidRDefault="000E0E05" w:rsidP="000E0E05">
      <w:pPr>
        <w:numPr>
          <w:ilvl w:val="0"/>
          <w:numId w:val="6"/>
        </w:numPr>
      </w:pPr>
      <w:r w:rsidRPr="000E0E05">
        <w:t>Fixed caps on benefits like tuition fees and CEA.</w:t>
      </w:r>
    </w:p>
    <w:p w14:paraId="368223AD" w14:textId="77777777" w:rsidR="000E0E05" w:rsidRPr="000E0E05" w:rsidRDefault="00DC13CD" w:rsidP="000E0E05">
      <w:r>
        <w:pict w14:anchorId="54AAF416">
          <v:rect id="_x0000_i1026" style="width:0;height:1.5pt" o:hralign="center" o:hrstd="t" o:hr="t" fillcolor="#a0a0a0" stroked="f"/>
        </w:pict>
      </w:r>
    </w:p>
    <w:p w14:paraId="399F7A51" w14:textId="77777777" w:rsidR="000E0E05" w:rsidRPr="000E0E05" w:rsidRDefault="000E0E05" w:rsidP="000E0E05">
      <w:pPr>
        <w:rPr>
          <w:b/>
          <w:bCs/>
        </w:rPr>
      </w:pPr>
      <w:r w:rsidRPr="000E0E05">
        <w:rPr>
          <w:b/>
          <w:bCs/>
        </w:rPr>
        <w:t>3. New vs. Old Tax Regime</w:t>
      </w:r>
    </w:p>
    <w:tbl>
      <w:tblPr>
        <w:tblStyle w:val="TableGridLight"/>
        <w:tblW w:w="9016" w:type="dxa"/>
        <w:tblLook w:val="04A0" w:firstRow="1" w:lastRow="0" w:firstColumn="1" w:lastColumn="0" w:noHBand="0" w:noVBand="1"/>
      </w:tblPr>
      <w:tblGrid>
        <w:gridCol w:w="1755"/>
        <w:gridCol w:w="4231"/>
        <w:gridCol w:w="3030"/>
      </w:tblGrid>
      <w:tr w:rsidR="000E0E05" w:rsidRPr="000E0E05" w14:paraId="3AD5DFC8" w14:textId="77777777" w:rsidTr="001E6D04">
        <w:trPr>
          <w:trHeight w:val="390"/>
        </w:trPr>
        <w:tc>
          <w:tcPr>
            <w:tcW w:w="0" w:type="auto"/>
            <w:shd w:val="clear" w:color="auto" w:fill="FFD966" w:themeFill="accent4" w:themeFillTint="99"/>
            <w:hideMark/>
          </w:tcPr>
          <w:p w14:paraId="3624406E" w14:textId="77777777" w:rsidR="000E0E05" w:rsidRPr="000E0E05" w:rsidRDefault="000E0E05" w:rsidP="000E0E05">
            <w:pPr>
              <w:rPr>
                <w:b/>
                <w:bCs/>
              </w:rPr>
            </w:pPr>
            <w:r w:rsidRPr="000E0E05">
              <w:rPr>
                <w:b/>
                <w:bCs/>
              </w:rPr>
              <w:t>Aspect</w:t>
            </w:r>
          </w:p>
        </w:tc>
        <w:tc>
          <w:tcPr>
            <w:tcW w:w="0" w:type="auto"/>
            <w:shd w:val="clear" w:color="auto" w:fill="FFD966" w:themeFill="accent4" w:themeFillTint="99"/>
            <w:hideMark/>
          </w:tcPr>
          <w:p w14:paraId="27C88EFC" w14:textId="77777777" w:rsidR="000E0E05" w:rsidRPr="000E0E05" w:rsidRDefault="000E0E05" w:rsidP="000E0E05">
            <w:pPr>
              <w:rPr>
                <w:b/>
                <w:bCs/>
              </w:rPr>
            </w:pPr>
            <w:r w:rsidRPr="000E0E05">
              <w:rPr>
                <w:b/>
                <w:bCs/>
              </w:rPr>
              <w:t>Old Tax Regime</w:t>
            </w:r>
          </w:p>
        </w:tc>
        <w:tc>
          <w:tcPr>
            <w:tcW w:w="0" w:type="auto"/>
            <w:shd w:val="clear" w:color="auto" w:fill="FFD966" w:themeFill="accent4" w:themeFillTint="99"/>
            <w:hideMark/>
          </w:tcPr>
          <w:p w14:paraId="542216EA" w14:textId="77777777" w:rsidR="000E0E05" w:rsidRPr="000E0E05" w:rsidRDefault="000E0E05" w:rsidP="000E0E05">
            <w:pPr>
              <w:rPr>
                <w:b/>
                <w:bCs/>
              </w:rPr>
            </w:pPr>
            <w:r w:rsidRPr="000E0E05">
              <w:rPr>
                <w:b/>
                <w:bCs/>
              </w:rPr>
              <w:t>New Tax Regime (Post 2020)</w:t>
            </w:r>
          </w:p>
        </w:tc>
      </w:tr>
      <w:tr w:rsidR="000E0E05" w:rsidRPr="000E0E05" w14:paraId="7740EB35" w14:textId="77777777" w:rsidTr="001E6D04">
        <w:trPr>
          <w:trHeight w:val="1191"/>
        </w:trPr>
        <w:tc>
          <w:tcPr>
            <w:tcW w:w="0" w:type="auto"/>
            <w:shd w:val="clear" w:color="auto" w:fill="FFD966" w:themeFill="accent4" w:themeFillTint="99"/>
            <w:hideMark/>
          </w:tcPr>
          <w:p w14:paraId="39F6CE27" w14:textId="77777777" w:rsidR="000E0E05" w:rsidRPr="000E0E05" w:rsidRDefault="000E0E05" w:rsidP="000E0E05">
            <w:r w:rsidRPr="000E0E05">
              <w:rPr>
                <w:b/>
                <w:bCs/>
              </w:rPr>
              <w:t>IT Benefits</w:t>
            </w:r>
          </w:p>
        </w:tc>
        <w:tc>
          <w:tcPr>
            <w:tcW w:w="0" w:type="auto"/>
            <w:shd w:val="clear" w:color="auto" w:fill="FFD966" w:themeFill="accent4" w:themeFillTint="99"/>
            <w:hideMark/>
          </w:tcPr>
          <w:p w14:paraId="4C4F877B" w14:textId="77777777" w:rsidR="000E0E05" w:rsidRPr="000E0E05" w:rsidRDefault="000E0E05" w:rsidP="000E0E05">
            <w:r w:rsidRPr="000E0E05">
              <w:t>Allows exemptions like HRA, 80C, 80D, and professional reimbursements.</w:t>
            </w:r>
          </w:p>
        </w:tc>
        <w:tc>
          <w:tcPr>
            <w:tcW w:w="0" w:type="auto"/>
            <w:shd w:val="clear" w:color="auto" w:fill="FFD966" w:themeFill="accent4" w:themeFillTint="99"/>
            <w:hideMark/>
          </w:tcPr>
          <w:p w14:paraId="220D674E" w14:textId="77777777" w:rsidR="000E0E05" w:rsidRPr="000E0E05" w:rsidRDefault="000E0E05" w:rsidP="000E0E05">
            <w:r w:rsidRPr="000E0E05">
              <w:t>Flat rates with no exemptions but lower tax rates.</w:t>
            </w:r>
          </w:p>
        </w:tc>
      </w:tr>
      <w:tr w:rsidR="000E0E05" w:rsidRPr="000E0E05" w14:paraId="0FD81941" w14:textId="77777777" w:rsidTr="001E6D04">
        <w:trPr>
          <w:trHeight w:val="801"/>
        </w:trPr>
        <w:tc>
          <w:tcPr>
            <w:tcW w:w="0" w:type="auto"/>
            <w:shd w:val="clear" w:color="auto" w:fill="FFD966" w:themeFill="accent4" w:themeFillTint="99"/>
            <w:hideMark/>
          </w:tcPr>
          <w:p w14:paraId="108C4239" w14:textId="77777777" w:rsidR="000E0E05" w:rsidRPr="000E0E05" w:rsidRDefault="000E0E05" w:rsidP="000E0E05">
            <w:r w:rsidRPr="000E0E05">
              <w:rPr>
                <w:b/>
                <w:bCs/>
              </w:rPr>
              <w:t>Educational Benefits</w:t>
            </w:r>
          </w:p>
        </w:tc>
        <w:tc>
          <w:tcPr>
            <w:tcW w:w="0" w:type="auto"/>
            <w:shd w:val="clear" w:color="auto" w:fill="FFD966" w:themeFill="accent4" w:themeFillTint="99"/>
            <w:hideMark/>
          </w:tcPr>
          <w:p w14:paraId="6FD542D2" w14:textId="77777777" w:rsidR="000E0E05" w:rsidRPr="000E0E05" w:rsidRDefault="000E0E05" w:rsidP="000E0E05">
            <w:r w:rsidRPr="000E0E05">
              <w:t>Full advantage of deductions like 80E and CEA.</w:t>
            </w:r>
          </w:p>
        </w:tc>
        <w:tc>
          <w:tcPr>
            <w:tcW w:w="0" w:type="auto"/>
            <w:shd w:val="clear" w:color="auto" w:fill="FFD966" w:themeFill="accent4" w:themeFillTint="99"/>
            <w:hideMark/>
          </w:tcPr>
          <w:p w14:paraId="63716261" w14:textId="77777777" w:rsidR="000E0E05" w:rsidRPr="000E0E05" w:rsidRDefault="000E0E05" w:rsidP="000E0E05">
            <w:r w:rsidRPr="000E0E05">
              <w:t>Minimal benefits due to the removal of deductions.</w:t>
            </w:r>
          </w:p>
        </w:tc>
      </w:tr>
    </w:tbl>
    <w:p w14:paraId="46EF76EA" w14:textId="77777777" w:rsidR="000E0E05" w:rsidRDefault="000E0E05" w:rsidP="001E6D04"/>
    <w:p w14:paraId="229418FF" w14:textId="77777777" w:rsidR="009F4604" w:rsidRPr="009F4604" w:rsidRDefault="009F4604" w:rsidP="009F4604">
      <w:proofErr w:type="spellStart"/>
      <w:r w:rsidRPr="009F4604">
        <w:t>ax</w:t>
      </w:r>
      <w:proofErr w:type="spellEnd"/>
      <w:r w:rsidRPr="009F4604">
        <w:t xml:space="preserve"> Slabs for AY 2025-26***</w:t>
      </w:r>
    </w:p>
    <w:p w14:paraId="268FAACE" w14:textId="77777777" w:rsidR="009F4604" w:rsidRPr="009F4604" w:rsidRDefault="009F4604" w:rsidP="009F4604">
      <w:pPr>
        <w:numPr>
          <w:ilvl w:val="0"/>
          <w:numId w:val="7"/>
        </w:numPr>
      </w:pPr>
      <w:r w:rsidRPr="009F4604">
        <w:t xml:space="preserve">The Finance Act 2024 has amended the provisions of Section 115BAC </w:t>
      </w:r>
      <w:proofErr w:type="spellStart"/>
      <w:r w:rsidRPr="009F4604">
        <w:t>w.e.f</w:t>
      </w:r>
      <w:proofErr w:type="spellEnd"/>
      <w:r w:rsidRPr="009F4604">
        <w:t xml:space="preserve"> AY 2024-25 to make new tax regime the default tax regime for the </w:t>
      </w:r>
      <w:proofErr w:type="spellStart"/>
      <w:r w:rsidRPr="009F4604">
        <w:t>assessee</w:t>
      </w:r>
      <w:proofErr w:type="spellEnd"/>
      <w:r w:rsidRPr="009F4604">
        <w:t xml:space="preserve"> being an Individual, HUF, AOP (not being co-operative societies), BOI or Artificial Juridical Person. However, the eligible taxpayers have the option to opt out of new tax regime and choose to be taxed under old tax regime. The old tax regime refers to the system of income tax calculation and slabs that existed before the introduction of the new tax regime. In the old tax regime, taxpayers have the option to claim various tax deductions and exemptions.</w:t>
      </w:r>
    </w:p>
    <w:p w14:paraId="70987534" w14:textId="77777777" w:rsidR="009F4604" w:rsidRPr="009F4604" w:rsidRDefault="009F4604" w:rsidP="009F4604">
      <w:r w:rsidRPr="009F4604">
        <w:t> </w:t>
      </w:r>
    </w:p>
    <w:p w14:paraId="23D539F6" w14:textId="77777777" w:rsidR="009F4604" w:rsidRPr="009F4604" w:rsidRDefault="009F4604" w:rsidP="009F4604">
      <w:pPr>
        <w:numPr>
          <w:ilvl w:val="0"/>
          <w:numId w:val="8"/>
        </w:numPr>
      </w:pPr>
      <w:r w:rsidRPr="009F4604">
        <w:lastRenderedPageBreak/>
        <w:t>In </w:t>
      </w:r>
      <w:r w:rsidRPr="009F4604">
        <w:rPr>
          <w:b/>
          <w:bCs/>
        </w:rPr>
        <w:t>"non-business cases</w:t>
      </w:r>
      <w:r w:rsidRPr="009F4604">
        <w:t>", option to choose the regime can be exercised every year directly in the ITR to be filed on or before the due date specified under section 139(1).</w:t>
      </w:r>
    </w:p>
    <w:p w14:paraId="461D65C3" w14:textId="77777777" w:rsidR="009F4604" w:rsidRPr="009F4604" w:rsidRDefault="009F4604" w:rsidP="009F4604">
      <w:r w:rsidRPr="009F4604">
        <w:t> </w:t>
      </w:r>
    </w:p>
    <w:p w14:paraId="70D5CA0C" w14:textId="77777777" w:rsidR="009F4604" w:rsidRPr="009F4604" w:rsidRDefault="009F4604" w:rsidP="009F4604">
      <w:pPr>
        <w:numPr>
          <w:ilvl w:val="0"/>
          <w:numId w:val="9"/>
        </w:numPr>
      </w:pPr>
      <w:r w:rsidRPr="009F4604">
        <w:t xml:space="preserve">In case of eligible taxpayers having income from business and profession, new tax regime is default regime. If </w:t>
      </w:r>
      <w:proofErr w:type="spellStart"/>
      <w:r w:rsidRPr="009F4604">
        <w:t>assessee</w:t>
      </w:r>
      <w:proofErr w:type="spellEnd"/>
      <w:r w:rsidRPr="009F4604">
        <w:t xml:space="preserve"> wants to opt out of new tax regime, they can furnish Form-10-IEA on or before the due date u/s 139(1) for furnishing the return of income. Also, for the purpose of withdrawal of such option i.e. opting out of old tax regime shall also be done by way of furnishing Form No.10-IEA.</w:t>
      </w:r>
      <w:r w:rsidRPr="009F4604">
        <w:rPr>
          <w:b/>
          <w:bCs/>
        </w:rPr>
        <w:t> However, option to switch to old tax regime and withdraw the option in any subsequent AY is available only once in lifetime for eligible taxpayers having income from business and profession.</w:t>
      </w:r>
    </w:p>
    <w:p w14:paraId="54B510E4" w14:textId="77777777" w:rsidR="009F4604" w:rsidRPr="009F4604" w:rsidRDefault="009F4604" w:rsidP="009F4604">
      <w:r w:rsidRPr="009F4604">
        <w:t> </w:t>
      </w:r>
    </w:p>
    <w:p w14:paraId="4155CF46" w14:textId="77777777" w:rsidR="009F4604" w:rsidRPr="008E0AAE" w:rsidRDefault="009F4604" w:rsidP="009F4604">
      <w:pPr>
        <w:numPr>
          <w:ilvl w:val="0"/>
          <w:numId w:val="10"/>
        </w:numPr>
      </w:pPr>
      <w:r w:rsidRPr="009F4604">
        <w:rPr>
          <w:b/>
          <w:bCs/>
        </w:rPr>
        <w:t xml:space="preserve">Tax rates for </w:t>
      </w:r>
      <w:proofErr w:type="gramStart"/>
      <w:r w:rsidRPr="009F4604">
        <w:rPr>
          <w:b/>
          <w:bCs/>
        </w:rPr>
        <w:t>Non Resident</w:t>
      </w:r>
      <w:proofErr w:type="gramEnd"/>
      <w:r w:rsidRPr="009F4604">
        <w:rPr>
          <w:b/>
          <w:bCs/>
        </w:rPr>
        <w:t xml:space="preserve"> Individual are as under:</w:t>
      </w:r>
    </w:p>
    <w:p w14:paraId="268A8CCA" w14:textId="77777777" w:rsidR="009F4604" w:rsidRPr="009F4604" w:rsidRDefault="009F4604" w:rsidP="009F4604">
      <w:r w:rsidRPr="009F4604">
        <w:t> </w:t>
      </w:r>
    </w:p>
    <w:tbl>
      <w:tblPr>
        <w:tblW w:w="9853" w:type="dxa"/>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9"/>
        <w:gridCol w:w="2077"/>
        <w:gridCol w:w="3241"/>
        <w:gridCol w:w="2076"/>
      </w:tblGrid>
      <w:tr w:rsidR="00640062" w14:paraId="192DCF96" w14:textId="2BEF337D" w:rsidTr="00851986">
        <w:tblPrEx>
          <w:tblCellMar>
            <w:top w:w="0" w:type="dxa"/>
            <w:bottom w:w="0" w:type="dxa"/>
          </w:tblCellMar>
        </w:tblPrEx>
        <w:trPr>
          <w:trHeight w:val="884"/>
        </w:trPr>
        <w:tc>
          <w:tcPr>
            <w:tcW w:w="4536" w:type="dxa"/>
            <w:gridSpan w:val="2"/>
            <w:shd w:val="clear" w:color="auto" w:fill="FFD966" w:themeFill="accent4" w:themeFillTint="99"/>
          </w:tcPr>
          <w:p w14:paraId="0D816BFC" w14:textId="77777777" w:rsidR="00640062" w:rsidRDefault="00640062" w:rsidP="00851986">
            <w:pPr>
              <w:spacing w:line="240" w:lineRule="auto"/>
              <w:ind w:left="225"/>
              <w:rPr>
                <w:b/>
                <w:bCs/>
              </w:rPr>
            </w:pPr>
          </w:p>
          <w:p w14:paraId="699F23D0" w14:textId="2514E443" w:rsidR="00640062" w:rsidRDefault="00F1490F" w:rsidP="00851986">
            <w:pPr>
              <w:spacing w:line="240" w:lineRule="auto"/>
              <w:jc w:val="center"/>
              <w:rPr>
                <w:b/>
                <w:bCs/>
              </w:rPr>
            </w:pPr>
            <w:r w:rsidRPr="00F1490F">
              <w:rPr>
                <w:b/>
                <w:bCs/>
                <w:sz w:val="32"/>
                <w:szCs w:val="32"/>
              </w:rPr>
              <w:t>Old tax regime</w:t>
            </w:r>
          </w:p>
        </w:tc>
        <w:tc>
          <w:tcPr>
            <w:tcW w:w="5317" w:type="dxa"/>
            <w:gridSpan w:val="2"/>
            <w:shd w:val="clear" w:color="auto" w:fill="FFD966" w:themeFill="accent4" w:themeFillTint="99"/>
          </w:tcPr>
          <w:p w14:paraId="2AA4244C" w14:textId="77777777" w:rsidR="00640062" w:rsidRDefault="00640062" w:rsidP="00851986">
            <w:pPr>
              <w:spacing w:line="240" w:lineRule="auto"/>
              <w:rPr>
                <w:b/>
                <w:bCs/>
              </w:rPr>
            </w:pPr>
          </w:p>
          <w:p w14:paraId="1296FD02" w14:textId="09ED0E98" w:rsidR="00640062" w:rsidRDefault="00632483" w:rsidP="00851986">
            <w:pPr>
              <w:spacing w:line="240" w:lineRule="auto"/>
              <w:jc w:val="center"/>
              <w:rPr>
                <w:b/>
                <w:bCs/>
              </w:rPr>
            </w:pPr>
            <w:r w:rsidRPr="00632483">
              <w:rPr>
                <w:b/>
                <w:bCs/>
                <w:sz w:val="32"/>
                <w:szCs w:val="32"/>
              </w:rPr>
              <w:t>New tax regime</w:t>
            </w:r>
          </w:p>
        </w:tc>
      </w:tr>
      <w:tr w:rsidR="00640062" w14:paraId="19E69433" w14:textId="0A7C0460" w:rsidTr="00851986">
        <w:tblPrEx>
          <w:tblCellMar>
            <w:top w:w="0" w:type="dxa"/>
            <w:bottom w:w="0" w:type="dxa"/>
          </w:tblCellMar>
        </w:tblPrEx>
        <w:trPr>
          <w:trHeight w:val="939"/>
        </w:trPr>
        <w:tc>
          <w:tcPr>
            <w:tcW w:w="2459" w:type="dxa"/>
            <w:shd w:val="clear" w:color="auto" w:fill="FFD966" w:themeFill="accent4" w:themeFillTint="99"/>
          </w:tcPr>
          <w:p w14:paraId="770DDEA8" w14:textId="77777777" w:rsidR="00640062" w:rsidRDefault="00640062" w:rsidP="00851986">
            <w:pPr>
              <w:spacing w:line="240" w:lineRule="auto"/>
              <w:ind w:left="225"/>
              <w:rPr>
                <w:b/>
                <w:bCs/>
              </w:rPr>
            </w:pPr>
          </w:p>
          <w:p w14:paraId="526F7BA0" w14:textId="7D89F0BD" w:rsidR="00640062" w:rsidRDefault="005B1E5C" w:rsidP="00851986">
            <w:pPr>
              <w:spacing w:line="240" w:lineRule="auto"/>
              <w:rPr>
                <w:b/>
                <w:bCs/>
              </w:rPr>
            </w:pPr>
            <w:r w:rsidRPr="005B1E5C">
              <w:rPr>
                <w:b/>
                <w:bCs/>
              </w:rPr>
              <w:t>Income Tax Slab</w:t>
            </w:r>
          </w:p>
        </w:tc>
        <w:tc>
          <w:tcPr>
            <w:tcW w:w="2077" w:type="dxa"/>
            <w:shd w:val="clear" w:color="auto" w:fill="FFD966" w:themeFill="accent4" w:themeFillTint="99"/>
          </w:tcPr>
          <w:p w14:paraId="4778D56A" w14:textId="77777777" w:rsidR="00640062" w:rsidRDefault="00640062" w:rsidP="00851986">
            <w:pPr>
              <w:spacing w:line="240" w:lineRule="auto"/>
              <w:rPr>
                <w:b/>
                <w:bCs/>
              </w:rPr>
            </w:pPr>
          </w:p>
          <w:p w14:paraId="41C9DC5D" w14:textId="498D4888" w:rsidR="00640062" w:rsidRDefault="00766D7C" w:rsidP="00851986">
            <w:pPr>
              <w:spacing w:line="240" w:lineRule="auto"/>
              <w:rPr>
                <w:b/>
                <w:bCs/>
              </w:rPr>
            </w:pPr>
            <w:r w:rsidRPr="00766D7C">
              <w:rPr>
                <w:b/>
                <w:bCs/>
              </w:rPr>
              <w:t>Income Tax Rate</w:t>
            </w:r>
          </w:p>
        </w:tc>
        <w:tc>
          <w:tcPr>
            <w:tcW w:w="3241" w:type="dxa"/>
            <w:shd w:val="clear" w:color="auto" w:fill="FFD966" w:themeFill="accent4" w:themeFillTint="99"/>
          </w:tcPr>
          <w:p w14:paraId="5225BDC3" w14:textId="7CA0D9A0" w:rsidR="00640062" w:rsidRDefault="00640062" w:rsidP="00851986">
            <w:pPr>
              <w:spacing w:line="240" w:lineRule="auto"/>
              <w:rPr>
                <w:b/>
                <w:bCs/>
              </w:rPr>
            </w:pPr>
          </w:p>
          <w:p w14:paraId="1E6B7D0C" w14:textId="43CDD52D" w:rsidR="00640062" w:rsidRDefault="00766D7C" w:rsidP="00851986">
            <w:pPr>
              <w:spacing w:line="240" w:lineRule="auto"/>
              <w:jc w:val="center"/>
              <w:rPr>
                <w:b/>
                <w:bCs/>
              </w:rPr>
            </w:pPr>
            <w:r w:rsidRPr="00766D7C">
              <w:rPr>
                <w:b/>
                <w:bCs/>
              </w:rPr>
              <w:t>Income Tax</w:t>
            </w:r>
            <w:r>
              <w:rPr>
                <w:b/>
                <w:bCs/>
              </w:rPr>
              <w:t xml:space="preserve"> S</w:t>
            </w:r>
            <w:r w:rsidR="00545802">
              <w:rPr>
                <w:b/>
                <w:bCs/>
              </w:rPr>
              <w:t>lab</w:t>
            </w:r>
          </w:p>
        </w:tc>
        <w:tc>
          <w:tcPr>
            <w:tcW w:w="2076" w:type="dxa"/>
            <w:shd w:val="clear" w:color="auto" w:fill="FFD966" w:themeFill="accent4" w:themeFillTint="99"/>
          </w:tcPr>
          <w:p w14:paraId="7FAE1C92" w14:textId="77777777" w:rsidR="00640062" w:rsidRDefault="00640062" w:rsidP="00851986">
            <w:pPr>
              <w:spacing w:line="240" w:lineRule="auto"/>
              <w:rPr>
                <w:b/>
                <w:bCs/>
              </w:rPr>
            </w:pPr>
          </w:p>
          <w:p w14:paraId="52C09B0F" w14:textId="6D8BFE23" w:rsidR="00640062" w:rsidRDefault="00545802" w:rsidP="00851986">
            <w:pPr>
              <w:spacing w:line="240" w:lineRule="auto"/>
              <w:jc w:val="center"/>
              <w:rPr>
                <w:b/>
                <w:bCs/>
              </w:rPr>
            </w:pPr>
            <w:r>
              <w:rPr>
                <w:b/>
                <w:bCs/>
              </w:rPr>
              <w:t>Income rate</w:t>
            </w:r>
          </w:p>
        </w:tc>
      </w:tr>
      <w:tr w:rsidR="00640062" w14:paraId="7DB0A3ED" w14:textId="77777777" w:rsidTr="00851986">
        <w:tblPrEx>
          <w:tblCellMar>
            <w:top w:w="0" w:type="dxa"/>
            <w:bottom w:w="0" w:type="dxa"/>
          </w:tblCellMar>
        </w:tblPrEx>
        <w:trPr>
          <w:trHeight w:val="1024"/>
        </w:trPr>
        <w:tc>
          <w:tcPr>
            <w:tcW w:w="2459" w:type="dxa"/>
            <w:shd w:val="clear" w:color="auto" w:fill="FFD966" w:themeFill="accent4" w:themeFillTint="99"/>
          </w:tcPr>
          <w:p w14:paraId="588A2570" w14:textId="77777777" w:rsidR="00640062" w:rsidRDefault="00640062" w:rsidP="00851986">
            <w:pPr>
              <w:spacing w:line="240" w:lineRule="auto"/>
              <w:ind w:left="225"/>
              <w:rPr>
                <w:b/>
                <w:bCs/>
              </w:rPr>
            </w:pPr>
          </w:p>
          <w:p w14:paraId="30010B97" w14:textId="1076CE0E" w:rsidR="00640062" w:rsidRDefault="001F7372" w:rsidP="00851986">
            <w:pPr>
              <w:spacing w:line="240" w:lineRule="auto"/>
              <w:rPr>
                <w:b/>
                <w:bCs/>
              </w:rPr>
            </w:pPr>
            <w:r w:rsidRPr="001F7372">
              <w:rPr>
                <w:b/>
                <w:bCs/>
              </w:rPr>
              <w:t>Up to ₹ 2,50,000</w:t>
            </w:r>
          </w:p>
        </w:tc>
        <w:tc>
          <w:tcPr>
            <w:tcW w:w="2077" w:type="dxa"/>
            <w:shd w:val="clear" w:color="auto" w:fill="FFD966" w:themeFill="accent4" w:themeFillTint="99"/>
          </w:tcPr>
          <w:p w14:paraId="06B7CE7F" w14:textId="77777777" w:rsidR="00F1490F" w:rsidRDefault="00F1490F" w:rsidP="00851986">
            <w:pPr>
              <w:spacing w:line="240" w:lineRule="auto"/>
              <w:jc w:val="both"/>
              <w:rPr>
                <w:b/>
                <w:bCs/>
              </w:rPr>
            </w:pPr>
          </w:p>
          <w:p w14:paraId="33266ADC" w14:textId="05436CF6" w:rsidR="00640062" w:rsidRDefault="00A41915" w:rsidP="00851986">
            <w:pPr>
              <w:spacing w:line="240" w:lineRule="auto"/>
              <w:jc w:val="center"/>
              <w:rPr>
                <w:b/>
                <w:bCs/>
              </w:rPr>
            </w:pPr>
            <w:r>
              <w:rPr>
                <w:b/>
                <w:bCs/>
              </w:rPr>
              <w:t>nil</w:t>
            </w:r>
          </w:p>
        </w:tc>
        <w:tc>
          <w:tcPr>
            <w:tcW w:w="3241" w:type="dxa"/>
            <w:shd w:val="clear" w:color="auto" w:fill="FFD966" w:themeFill="accent4" w:themeFillTint="99"/>
          </w:tcPr>
          <w:p w14:paraId="132EA273" w14:textId="77777777" w:rsidR="00640062" w:rsidRDefault="00640062" w:rsidP="00851986">
            <w:pPr>
              <w:spacing w:line="240" w:lineRule="auto"/>
              <w:rPr>
                <w:b/>
                <w:bCs/>
              </w:rPr>
            </w:pPr>
          </w:p>
          <w:p w14:paraId="63DE4CF1" w14:textId="33C3FC27" w:rsidR="00D12574" w:rsidRDefault="0093375C" w:rsidP="00851986">
            <w:pPr>
              <w:spacing w:line="240" w:lineRule="auto"/>
              <w:rPr>
                <w:b/>
                <w:bCs/>
              </w:rPr>
            </w:pPr>
            <w:r w:rsidRPr="0093375C">
              <w:rPr>
                <w:b/>
                <w:bCs/>
              </w:rPr>
              <w:t>Up to ₹ 3,00,000</w:t>
            </w:r>
          </w:p>
        </w:tc>
        <w:tc>
          <w:tcPr>
            <w:tcW w:w="2076" w:type="dxa"/>
            <w:shd w:val="clear" w:color="auto" w:fill="FFD966" w:themeFill="accent4" w:themeFillTint="99"/>
          </w:tcPr>
          <w:p w14:paraId="623A9D47" w14:textId="77777777" w:rsidR="00640062" w:rsidRDefault="00640062" w:rsidP="00851986">
            <w:pPr>
              <w:spacing w:line="240" w:lineRule="auto"/>
              <w:rPr>
                <w:b/>
                <w:bCs/>
              </w:rPr>
            </w:pPr>
          </w:p>
        </w:tc>
      </w:tr>
      <w:tr w:rsidR="00640062" w14:paraId="3799D4EF" w14:textId="77777777" w:rsidTr="00851986">
        <w:tblPrEx>
          <w:tblCellMar>
            <w:top w:w="0" w:type="dxa"/>
            <w:bottom w:w="0" w:type="dxa"/>
          </w:tblCellMar>
        </w:tblPrEx>
        <w:trPr>
          <w:trHeight w:val="921"/>
        </w:trPr>
        <w:tc>
          <w:tcPr>
            <w:tcW w:w="2459" w:type="dxa"/>
            <w:shd w:val="clear" w:color="auto" w:fill="FFD966" w:themeFill="accent4" w:themeFillTint="99"/>
          </w:tcPr>
          <w:p w14:paraId="12CCB6DC" w14:textId="3C24839A" w:rsidR="00640062" w:rsidRDefault="000D3B19" w:rsidP="00851986">
            <w:pPr>
              <w:spacing w:line="240" w:lineRule="auto"/>
              <w:rPr>
                <w:b/>
                <w:bCs/>
              </w:rPr>
            </w:pPr>
            <w:r w:rsidRPr="000D3B19">
              <w:rPr>
                <w:b/>
                <w:bCs/>
              </w:rPr>
              <w:t>₹ 2,50,001 - ₹ 5,00,000</w:t>
            </w:r>
          </w:p>
        </w:tc>
        <w:tc>
          <w:tcPr>
            <w:tcW w:w="2077" w:type="dxa"/>
            <w:shd w:val="clear" w:color="auto" w:fill="FFD966" w:themeFill="accent4" w:themeFillTint="99"/>
          </w:tcPr>
          <w:p w14:paraId="528FCD38" w14:textId="420F1D9A" w:rsidR="00640062" w:rsidRDefault="00A41915" w:rsidP="00851986">
            <w:pPr>
              <w:spacing w:line="240" w:lineRule="auto"/>
              <w:rPr>
                <w:b/>
                <w:bCs/>
              </w:rPr>
            </w:pPr>
            <w:r w:rsidRPr="00A41915">
              <w:rPr>
                <w:b/>
                <w:bCs/>
              </w:rPr>
              <w:t>5% above ₹ 2,50,000</w:t>
            </w:r>
          </w:p>
        </w:tc>
        <w:tc>
          <w:tcPr>
            <w:tcW w:w="3241" w:type="dxa"/>
            <w:shd w:val="clear" w:color="auto" w:fill="FFD966" w:themeFill="accent4" w:themeFillTint="99"/>
          </w:tcPr>
          <w:p w14:paraId="5BA81C5D" w14:textId="77777777" w:rsidR="0093375C" w:rsidRDefault="0093375C" w:rsidP="00851986">
            <w:pPr>
              <w:spacing w:line="240" w:lineRule="auto"/>
              <w:rPr>
                <w:b/>
                <w:bCs/>
              </w:rPr>
            </w:pPr>
          </w:p>
          <w:p w14:paraId="71C0B921" w14:textId="05D61948" w:rsidR="0093375C" w:rsidRDefault="0093375C" w:rsidP="00851986">
            <w:pPr>
              <w:spacing w:line="240" w:lineRule="auto"/>
              <w:rPr>
                <w:b/>
                <w:bCs/>
              </w:rPr>
            </w:pPr>
            <w:r w:rsidRPr="0093375C">
              <w:rPr>
                <w:b/>
                <w:bCs/>
              </w:rPr>
              <w:t>₹ 3,00,001 - ₹ 7,00,000</w:t>
            </w:r>
          </w:p>
        </w:tc>
        <w:tc>
          <w:tcPr>
            <w:tcW w:w="2076" w:type="dxa"/>
            <w:shd w:val="clear" w:color="auto" w:fill="FFD966" w:themeFill="accent4" w:themeFillTint="99"/>
          </w:tcPr>
          <w:p w14:paraId="098B1463" w14:textId="5CECB758" w:rsidR="00640062" w:rsidRDefault="009D709F" w:rsidP="00851986">
            <w:pPr>
              <w:spacing w:line="240" w:lineRule="auto"/>
              <w:rPr>
                <w:b/>
                <w:bCs/>
              </w:rPr>
            </w:pPr>
            <w:r w:rsidRPr="009D709F">
              <w:rPr>
                <w:b/>
                <w:bCs/>
              </w:rPr>
              <w:t>5% above ₹ 3,00,000</w:t>
            </w:r>
          </w:p>
        </w:tc>
      </w:tr>
      <w:tr w:rsidR="00640062" w14:paraId="213775CC" w14:textId="77777777" w:rsidTr="00851986">
        <w:tblPrEx>
          <w:tblCellMar>
            <w:top w:w="0" w:type="dxa"/>
            <w:bottom w:w="0" w:type="dxa"/>
          </w:tblCellMar>
        </w:tblPrEx>
        <w:trPr>
          <w:trHeight w:val="1127"/>
        </w:trPr>
        <w:tc>
          <w:tcPr>
            <w:tcW w:w="2459" w:type="dxa"/>
            <w:shd w:val="clear" w:color="auto" w:fill="FFD966" w:themeFill="accent4" w:themeFillTint="99"/>
          </w:tcPr>
          <w:p w14:paraId="6DC4DAA6" w14:textId="77777777" w:rsidR="00F53C71" w:rsidRDefault="00FF0C56" w:rsidP="00851986">
            <w:pPr>
              <w:spacing w:line="240" w:lineRule="auto"/>
              <w:rPr>
                <w:b/>
                <w:bCs/>
              </w:rPr>
            </w:pPr>
            <w:r w:rsidRPr="00FF0C56">
              <w:rPr>
                <w:b/>
                <w:bCs/>
              </w:rPr>
              <w:t>₹ 5,00,001 - ₹ 10,00,000</w:t>
            </w:r>
          </w:p>
          <w:p w14:paraId="24276EBD" w14:textId="4EBDF2C1" w:rsidR="00F53C71" w:rsidRPr="00F53C71" w:rsidRDefault="00F53C71" w:rsidP="00851986">
            <w:pPr>
              <w:spacing w:line="240" w:lineRule="auto"/>
              <w:rPr>
                <w:b/>
                <w:bCs/>
              </w:rPr>
            </w:pPr>
          </w:p>
        </w:tc>
        <w:tc>
          <w:tcPr>
            <w:tcW w:w="2077" w:type="dxa"/>
            <w:shd w:val="clear" w:color="auto" w:fill="FFD966" w:themeFill="accent4" w:themeFillTint="99"/>
          </w:tcPr>
          <w:p w14:paraId="17D00A00" w14:textId="108B5DA1" w:rsidR="00640062" w:rsidRDefault="00A41915" w:rsidP="00851986">
            <w:pPr>
              <w:spacing w:line="240" w:lineRule="auto"/>
              <w:rPr>
                <w:b/>
                <w:bCs/>
              </w:rPr>
            </w:pPr>
            <w:r w:rsidRPr="00A41915">
              <w:rPr>
                <w:b/>
                <w:bCs/>
              </w:rPr>
              <w:t>₹ 12,500 + 20% above ₹ 5,00,000</w:t>
            </w:r>
          </w:p>
        </w:tc>
        <w:tc>
          <w:tcPr>
            <w:tcW w:w="3241" w:type="dxa"/>
            <w:shd w:val="clear" w:color="auto" w:fill="FFD966" w:themeFill="accent4" w:themeFillTint="99"/>
          </w:tcPr>
          <w:p w14:paraId="1883FDDE" w14:textId="77777777" w:rsidR="00640062" w:rsidRDefault="00640062" w:rsidP="00851986">
            <w:pPr>
              <w:spacing w:line="240" w:lineRule="auto"/>
              <w:rPr>
                <w:b/>
                <w:bCs/>
              </w:rPr>
            </w:pPr>
          </w:p>
          <w:p w14:paraId="231C6477" w14:textId="195191E0" w:rsidR="00B562E2" w:rsidRDefault="0017028A" w:rsidP="00851986">
            <w:pPr>
              <w:spacing w:line="240" w:lineRule="auto"/>
              <w:rPr>
                <w:b/>
                <w:bCs/>
              </w:rPr>
            </w:pPr>
            <w:r w:rsidRPr="0093375C">
              <w:rPr>
                <w:b/>
                <w:bCs/>
              </w:rPr>
              <w:t>₹</w:t>
            </w:r>
            <w:r w:rsidR="00502862">
              <w:rPr>
                <w:b/>
                <w:bCs/>
              </w:rPr>
              <w:t>70000</w:t>
            </w:r>
            <w:r w:rsidR="00204AB9">
              <w:rPr>
                <w:b/>
                <w:bCs/>
              </w:rPr>
              <w:t>1</w:t>
            </w:r>
            <w:r>
              <w:rPr>
                <w:b/>
                <w:bCs/>
              </w:rPr>
              <w:t xml:space="preserve"> </w:t>
            </w:r>
            <w:r w:rsidR="00502862">
              <w:rPr>
                <w:b/>
                <w:bCs/>
              </w:rPr>
              <w:t>-</w:t>
            </w:r>
            <w:r>
              <w:rPr>
                <w:b/>
                <w:bCs/>
              </w:rPr>
              <w:t xml:space="preserve"> </w:t>
            </w:r>
            <w:r w:rsidRPr="0093375C">
              <w:rPr>
                <w:b/>
                <w:bCs/>
              </w:rPr>
              <w:t>₹</w:t>
            </w:r>
            <w:r>
              <w:rPr>
                <w:b/>
                <w:bCs/>
              </w:rPr>
              <w:t xml:space="preserve"> </w:t>
            </w:r>
            <w:r w:rsidR="00502862">
              <w:rPr>
                <w:b/>
                <w:bCs/>
              </w:rPr>
              <w:t>1000000</w:t>
            </w:r>
          </w:p>
        </w:tc>
        <w:tc>
          <w:tcPr>
            <w:tcW w:w="2076" w:type="dxa"/>
            <w:shd w:val="clear" w:color="auto" w:fill="FFD966" w:themeFill="accent4" w:themeFillTint="99"/>
          </w:tcPr>
          <w:p w14:paraId="1346E121" w14:textId="09A8DB1E" w:rsidR="00640062" w:rsidRDefault="00C025A1" w:rsidP="00851986">
            <w:pPr>
              <w:spacing w:line="240" w:lineRule="auto"/>
              <w:rPr>
                <w:b/>
                <w:bCs/>
              </w:rPr>
            </w:pPr>
            <w:r w:rsidRPr="00C025A1">
              <w:rPr>
                <w:b/>
                <w:bCs/>
              </w:rPr>
              <w:t>₹ 20,000 + 10% above ₹ 7,00,000</w:t>
            </w:r>
          </w:p>
        </w:tc>
      </w:tr>
      <w:tr w:rsidR="00851986" w14:paraId="471E42F0" w14:textId="77777777" w:rsidTr="00851986">
        <w:tblPrEx>
          <w:tblCellMar>
            <w:top w:w="0" w:type="dxa"/>
            <w:bottom w:w="0" w:type="dxa"/>
          </w:tblCellMar>
        </w:tblPrEx>
        <w:trPr>
          <w:trHeight w:val="1194"/>
        </w:trPr>
        <w:tc>
          <w:tcPr>
            <w:tcW w:w="2459" w:type="dxa"/>
            <w:shd w:val="clear" w:color="auto" w:fill="FFD966" w:themeFill="accent4" w:themeFillTint="99"/>
          </w:tcPr>
          <w:p w14:paraId="61CC1EB9" w14:textId="0A9DCCF6" w:rsidR="00851986" w:rsidRDefault="00851986" w:rsidP="00851986">
            <w:pPr>
              <w:spacing w:line="240" w:lineRule="auto"/>
              <w:rPr>
                <w:b/>
                <w:bCs/>
              </w:rPr>
            </w:pPr>
            <w:r w:rsidRPr="00EE582A">
              <w:rPr>
                <w:b/>
                <w:bCs/>
              </w:rPr>
              <w:t>₹ 10,00,001- ₹ 50,00,000</w:t>
            </w:r>
          </w:p>
        </w:tc>
        <w:tc>
          <w:tcPr>
            <w:tcW w:w="2077" w:type="dxa"/>
            <w:shd w:val="clear" w:color="auto" w:fill="FFD966" w:themeFill="accent4" w:themeFillTint="99"/>
          </w:tcPr>
          <w:p w14:paraId="6EC39A63" w14:textId="53A44A7C" w:rsidR="00851986" w:rsidRDefault="00851986" w:rsidP="00851986">
            <w:pPr>
              <w:spacing w:line="240" w:lineRule="auto"/>
              <w:rPr>
                <w:b/>
                <w:bCs/>
              </w:rPr>
            </w:pPr>
            <w:r w:rsidRPr="002C4B44">
              <w:rPr>
                <w:b/>
                <w:bCs/>
              </w:rPr>
              <w:t>₹ 1,12,500 + 30% above ₹ 10,00,000</w:t>
            </w:r>
          </w:p>
        </w:tc>
        <w:tc>
          <w:tcPr>
            <w:tcW w:w="3241" w:type="dxa"/>
            <w:shd w:val="clear" w:color="auto" w:fill="FFD966" w:themeFill="accent4" w:themeFillTint="99"/>
          </w:tcPr>
          <w:p w14:paraId="12ADD037" w14:textId="77777777" w:rsidR="00851986" w:rsidRDefault="00851986" w:rsidP="00851986">
            <w:pPr>
              <w:spacing w:line="240" w:lineRule="auto"/>
              <w:rPr>
                <w:b/>
                <w:bCs/>
              </w:rPr>
            </w:pPr>
          </w:p>
          <w:p w14:paraId="6106B97B" w14:textId="58412032" w:rsidR="00851986" w:rsidRDefault="00851986" w:rsidP="00851986">
            <w:pPr>
              <w:spacing w:line="240" w:lineRule="auto"/>
              <w:rPr>
                <w:b/>
                <w:bCs/>
              </w:rPr>
            </w:pPr>
            <w:r w:rsidRPr="0093375C">
              <w:rPr>
                <w:b/>
                <w:bCs/>
              </w:rPr>
              <w:t>₹</w:t>
            </w:r>
            <w:r>
              <w:rPr>
                <w:b/>
                <w:bCs/>
              </w:rPr>
              <w:t xml:space="preserve"> 1000001- </w:t>
            </w:r>
            <w:r w:rsidRPr="0093375C">
              <w:rPr>
                <w:b/>
                <w:bCs/>
              </w:rPr>
              <w:t>₹</w:t>
            </w:r>
            <w:r>
              <w:rPr>
                <w:b/>
                <w:bCs/>
              </w:rPr>
              <w:t xml:space="preserve"> 1200000</w:t>
            </w:r>
          </w:p>
        </w:tc>
        <w:tc>
          <w:tcPr>
            <w:tcW w:w="2076" w:type="dxa"/>
            <w:shd w:val="clear" w:color="auto" w:fill="FFD966" w:themeFill="accent4" w:themeFillTint="99"/>
          </w:tcPr>
          <w:p w14:paraId="5A0684B7" w14:textId="30F0FE2D" w:rsidR="00851986" w:rsidRDefault="00851986" w:rsidP="00851986">
            <w:pPr>
              <w:spacing w:line="240" w:lineRule="auto"/>
              <w:rPr>
                <w:b/>
                <w:bCs/>
              </w:rPr>
            </w:pPr>
            <w:r w:rsidRPr="007663E6">
              <w:rPr>
                <w:b/>
                <w:bCs/>
              </w:rPr>
              <w:t>₹ 50,000 + 15% above ₹ 10,00,000</w:t>
            </w:r>
          </w:p>
        </w:tc>
      </w:tr>
      <w:tr w:rsidR="00851986" w14:paraId="158C54DB" w14:textId="77777777" w:rsidTr="00851986">
        <w:tblPrEx>
          <w:tblCellMar>
            <w:top w:w="0" w:type="dxa"/>
            <w:bottom w:w="0" w:type="dxa"/>
          </w:tblCellMar>
        </w:tblPrEx>
        <w:trPr>
          <w:trHeight w:val="905"/>
        </w:trPr>
        <w:tc>
          <w:tcPr>
            <w:tcW w:w="2459" w:type="dxa"/>
            <w:shd w:val="clear" w:color="auto" w:fill="FFD966" w:themeFill="accent4" w:themeFillTint="99"/>
          </w:tcPr>
          <w:p w14:paraId="51F41621" w14:textId="1A4F46BF" w:rsidR="00851986" w:rsidRDefault="00851986" w:rsidP="00851986">
            <w:pPr>
              <w:spacing w:line="240" w:lineRule="auto"/>
              <w:rPr>
                <w:b/>
                <w:bCs/>
              </w:rPr>
            </w:pPr>
            <w:r w:rsidRPr="00DB2FCF">
              <w:rPr>
                <w:b/>
                <w:bCs/>
              </w:rPr>
              <w:lastRenderedPageBreak/>
              <w:t>₹ 50,00,001- ₹ 100,00,000</w:t>
            </w:r>
          </w:p>
        </w:tc>
        <w:tc>
          <w:tcPr>
            <w:tcW w:w="2077" w:type="dxa"/>
            <w:shd w:val="clear" w:color="auto" w:fill="FFD966" w:themeFill="accent4" w:themeFillTint="99"/>
          </w:tcPr>
          <w:p w14:paraId="1C01CCD4" w14:textId="5017D105" w:rsidR="00851986" w:rsidRDefault="00851986" w:rsidP="00851986">
            <w:pPr>
              <w:spacing w:line="240" w:lineRule="auto"/>
              <w:rPr>
                <w:b/>
                <w:bCs/>
              </w:rPr>
            </w:pPr>
            <w:r w:rsidRPr="002C4B44">
              <w:rPr>
                <w:b/>
                <w:bCs/>
              </w:rPr>
              <w:t>₹ 1,12,500 + 30% above ₹ 10,00,000</w:t>
            </w:r>
          </w:p>
        </w:tc>
        <w:tc>
          <w:tcPr>
            <w:tcW w:w="3241" w:type="dxa"/>
            <w:shd w:val="clear" w:color="auto" w:fill="FFD966" w:themeFill="accent4" w:themeFillTint="99"/>
          </w:tcPr>
          <w:p w14:paraId="0060F619" w14:textId="77777777" w:rsidR="00851986" w:rsidRDefault="00851986" w:rsidP="00851986">
            <w:pPr>
              <w:spacing w:line="240" w:lineRule="auto"/>
              <w:rPr>
                <w:b/>
                <w:bCs/>
              </w:rPr>
            </w:pPr>
          </w:p>
          <w:p w14:paraId="0C1B9685" w14:textId="5B3A5DEF" w:rsidR="00851986" w:rsidRDefault="00851986" w:rsidP="00851986">
            <w:pPr>
              <w:spacing w:line="240" w:lineRule="auto"/>
              <w:rPr>
                <w:b/>
                <w:bCs/>
              </w:rPr>
            </w:pPr>
            <w:r w:rsidRPr="0093375C">
              <w:rPr>
                <w:b/>
                <w:bCs/>
              </w:rPr>
              <w:t>₹</w:t>
            </w:r>
            <w:r>
              <w:rPr>
                <w:b/>
                <w:bCs/>
              </w:rPr>
              <w:t xml:space="preserve">1200001- </w:t>
            </w:r>
            <w:r w:rsidRPr="0093375C">
              <w:rPr>
                <w:b/>
                <w:bCs/>
              </w:rPr>
              <w:t>₹</w:t>
            </w:r>
            <w:r>
              <w:rPr>
                <w:b/>
                <w:bCs/>
              </w:rPr>
              <w:t>1500000</w:t>
            </w:r>
          </w:p>
        </w:tc>
        <w:tc>
          <w:tcPr>
            <w:tcW w:w="2076" w:type="dxa"/>
            <w:shd w:val="clear" w:color="auto" w:fill="FFD966" w:themeFill="accent4" w:themeFillTint="99"/>
          </w:tcPr>
          <w:p w14:paraId="196A13F5" w14:textId="5CB8DB34" w:rsidR="00851986" w:rsidRDefault="00851986" w:rsidP="00851986">
            <w:pPr>
              <w:spacing w:line="240" w:lineRule="auto"/>
              <w:rPr>
                <w:b/>
                <w:bCs/>
              </w:rPr>
            </w:pPr>
            <w:r w:rsidRPr="007663E6">
              <w:rPr>
                <w:b/>
                <w:bCs/>
              </w:rPr>
              <w:t>₹ 80,000 + 20% above ₹ 12,00,000</w:t>
            </w:r>
          </w:p>
        </w:tc>
      </w:tr>
      <w:tr w:rsidR="00851986" w14:paraId="125B1360" w14:textId="77777777" w:rsidTr="00851986">
        <w:tblPrEx>
          <w:tblCellMar>
            <w:top w:w="0" w:type="dxa"/>
            <w:bottom w:w="0" w:type="dxa"/>
          </w:tblCellMar>
        </w:tblPrEx>
        <w:trPr>
          <w:trHeight w:val="905"/>
        </w:trPr>
        <w:tc>
          <w:tcPr>
            <w:tcW w:w="2459" w:type="dxa"/>
            <w:shd w:val="clear" w:color="auto" w:fill="FFD966" w:themeFill="accent4" w:themeFillTint="99"/>
          </w:tcPr>
          <w:p w14:paraId="75477D3A" w14:textId="2BA051CF" w:rsidR="00851986" w:rsidRDefault="00851986" w:rsidP="00851986">
            <w:pPr>
              <w:spacing w:line="240" w:lineRule="auto"/>
              <w:rPr>
                <w:b/>
                <w:bCs/>
              </w:rPr>
            </w:pPr>
            <w:r w:rsidRPr="00DB2FCF">
              <w:rPr>
                <w:b/>
                <w:bCs/>
              </w:rPr>
              <w:t>₹ 100,00,001- ₹ 200,00,000</w:t>
            </w:r>
          </w:p>
        </w:tc>
        <w:tc>
          <w:tcPr>
            <w:tcW w:w="2077" w:type="dxa"/>
            <w:shd w:val="clear" w:color="auto" w:fill="FFD966" w:themeFill="accent4" w:themeFillTint="99"/>
          </w:tcPr>
          <w:p w14:paraId="529C0A2A" w14:textId="161B62F7" w:rsidR="00851986" w:rsidRDefault="00851986" w:rsidP="00851986">
            <w:pPr>
              <w:spacing w:line="240" w:lineRule="auto"/>
              <w:rPr>
                <w:b/>
                <w:bCs/>
              </w:rPr>
            </w:pPr>
            <w:r w:rsidRPr="002C4B44">
              <w:rPr>
                <w:b/>
                <w:bCs/>
              </w:rPr>
              <w:t>₹ 1,12,500 + 30% above ₹ 10,00,000</w:t>
            </w:r>
          </w:p>
        </w:tc>
        <w:tc>
          <w:tcPr>
            <w:tcW w:w="3241" w:type="dxa"/>
            <w:shd w:val="clear" w:color="auto" w:fill="FFD966" w:themeFill="accent4" w:themeFillTint="99"/>
          </w:tcPr>
          <w:p w14:paraId="473EBCE8" w14:textId="3F4FDEC0" w:rsidR="00851986" w:rsidRDefault="00851986" w:rsidP="00851986">
            <w:pPr>
              <w:spacing w:line="240" w:lineRule="auto"/>
              <w:rPr>
                <w:b/>
                <w:bCs/>
              </w:rPr>
            </w:pPr>
            <w:r w:rsidRPr="00EB69B0">
              <w:rPr>
                <w:b/>
                <w:bCs/>
              </w:rPr>
              <w:t>₹ 15,00,001- ₹ 50,00,000</w:t>
            </w:r>
          </w:p>
        </w:tc>
        <w:tc>
          <w:tcPr>
            <w:tcW w:w="2076" w:type="dxa"/>
            <w:shd w:val="clear" w:color="auto" w:fill="FFD966" w:themeFill="accent4" w:themeFillTint="99"/>
          </w:tcPr>
          <w:p w14:paraId="4CE1ED57" w14:textId="1A979380" w:rsidR="00851986" w:rsidRDefault="00851986" w:rsidP="00851986">
            <w:pPr>
              <w:spacing w:line="240" w:lineRule="auto"/>
              <w:rPr>
                <w:b/>
                <w:bCs/>
              </w:rPr>
            </w:pPr>
            <w:r w:rsidRPr="00B63585">
              <w:rPr>
                <w:b/>
                <w:bCs/>
              </w:rPr>
              <w:t>₹ 1,40,000 + 30% above ₹ 15,00,000</w:t>
            </w:r>
          </w:p>
        </w:tc>
      </w:tr>
      <w:tr w:rsidR="00851986" w14:paraId="7D76641A" w14:textId="77777777" w:rsidTr="00851986">
        <w:tblPrEx>
          <w:tblCellMar>
            <w:top w:w="0" w:type="dxa"/>
            <w:bottom w:w="0" w:type="dxa"/>
          </w:tblCellMar>
        </w:tblPrEx>
        <w:trPr>
          <w:trHeight w:val="905"/>
        </w:trPr>
        <w:tc>
          <w:tcPr>
            <w:tcW w:w="2459" w:type="dxa"/>
            <w:shd w:val="clear" w:color="auto" w:fill="FFD966" w:themeFill="accent4" w:themeFillTint="99"/>
          </w:tcPr>
          <w:p w14:paraId="0E5D82DB" w14:textId="4A9FF31A" w:rsidR="00851986" w:rsidRDefault="00851986" w:rsidP="00851986">
            <w:pPr>
              <w:spacing w:line="240" w:lineRule="auto"/>
              <w:rPr>
                <w:b/>
                <w:bCs/>
              </w:rPr>
            </w:pPr>
            <w:r w:rsidRPr="009156B3">
              <w:rPr>
                <w:b/>
                <w:bCs/>
              </w:rPr>
              <w:t>₹ 200,00,001- ₹ 500,00,000</w:t>
            </w:r>
          </w:p>
        </w:tc>
        <w:tc>
          <w:tcPr>
            <w:tcW w:w="2077" w:type="dxa"/>
            <w:shd w:val="clear" w:color="auto" w:fill="FFD966" w:themeFill="accent4" w:themeFillTint="99"/>
          </w:tcPr>
          <w:p w14:paraId="3471D2BE" w14:textId="6DA12639" w:rsidR="00851986" w:rsidRDefault="00851986" w:rsidP="00851986">
            <w:pPr>
              <w:spacing w:line="240" w:lineRule="auto"/>
              <w:rPr>
                <w:b/>
                <w:bCs/>
              </w:rPr>
            </w:pPr>
            <w:r w:rsidRPr="002C4B44">
              <w:rPr>
                <w:b/>
                <w:bCs/>
              </w:rPr>
              <w:t>₹ 1,12,500 + 30% above ₹ 10,00,000</w:t>
            </w:r>
          </w:p>
        </w:tc>
        <w:tc>
          <w:tcPr>
            <w:tcW w:w="3241" w:type="dxa"/>
            <w:shd w:val="clear" w:color="auto" w:fill="FFD966" w:themeFill="accent4" w:themeFillTint="99"/>
          </w:tcPr>
          <w:p w14:paraId="0DAE8BEF" w14:textId="5B0A3F34" w:rsidR="00851986" w:rsidRDefault="00851986" w:rsidP="00851986">
            <w:pPr>
              <w:spacing w:line="240" w:lineRule="auto"/>
              <w:rPr>
                <w:b/>
                <w:bCs/>
              </w:rPr>
            </w:pPr>
            <w:r w:rsidRPr="00EB69B0">
              <w:rPr>
                <w:b/>
                <w:bCs/>
              </w:rPr>
              <w:t>₹ 50,00,001- ₹ 100,00,000</w:t>
            </w:r>
          </w:p>
        </w:tc>
        <w:tc>
          <w:tcPr>
            <w:tcW w:w="2076" w:type="dxa"/>
            <w:shd w:val="clear" w:color="auto" w:fill="FFD966" w:themeFill="accent4" w:themeFillTint="99"/>
          </w:tcPr>
          <w:p w14:paraId="7C3AF92E" w14:textId="1C434ACB" w:rsidR="00851986" w:rsidRDefault="00851986" w:rsidP="00851986">
            <w:pPr>
              <w:spacing w:line="240" w:lineRule="auto"/>
              <w:rPr>
                <w:b/>
                <w:bCs/>
              </w:rPr>
            </w:pPr>
            <w:r w:rsidRPr="00B63585">
              <w:rPr>
                <w:b/>
                <w:bCs/>
              </w:rPr>
              <w:t>₹ 1,40,000 + 30% above ₹ 15,00,000</w:t>
            </w:r>
          </w:p>
        </w:tc>
      </w:tr>
      <w:tr w:rsidR="00851986" w14:paraId="2A267040" w14:textId="77777777" w:rsidTr="00851986">
        <w:tblPrEx>
          <w:tblCellMar>
            <w:top w:w="0" w:type="dxa"/>
            <w:bottom w:w="0" w:type="dxa"/>
          </w:tblCellMar>
        </w:tblPrEx>
        <w:trPr>
          <w:trHeight w:val="905"/>
        </w:trPr>
        <w:tc>
          <w:tcPr>
            <w:tcW w:w="2459" w:type="dxa"/>
            <w:shd w:val="clear" w:color="auto" w:fill="FFD966" w:themeFill="accent4" w:themeFillTint="99"/>
          </w:tcPr>
          <w:p w14:paraId="55B35F85" w14:textId="75C7FB39" w:rsidR="00851986" w:rsidRDefault="00851986" w:rsidP="00851986">
            <w:pPr>
              <w:spacing w:line="240" w:lineRule="auto"/>
              <w:rPr>
                <w:b/>
                <w:bCs/>
              </w:rPr>
            </w:pPr>
            <w:r w:rsidRPr="009156B3">
              <w:rPr>
                <w:b/>
                <w:bCs/>
              </w:rPr>
              <w:t>Above ₹ 500,00,000</w:t>
            </w:r>
          </w:p>
        </w:tc>
        <w:tc>
          <w:tcPr>
            <w:tcW w:w="2077" w:type="dxa"/>
            <w:shd w:val="clear" w:color="auto" w:fill="FFD966" w:themeFill="accent4" w:themeFillTint="99"/>
          </w:tcPr>
          <w:p w14:paraId="5D6455CB" w14:textId="22CABF02" w:rsidR="00851986" w:rsidRDefault="00851986" w:rsidP="00851986">
            <w:pPr>
              <w:spacing w:line="240" w:lineRule="auto"/>
              <w:rPr>
                <w:b/>
                <w:bCs/>
              </w:rPr>
            </w:pPr>
            <w:r w:rsidRPr="00DF632E">
              <w:rPr>
                <w:b/>
                <w:bCs/>
              </w:rPr>
              <w:t>₹ 1,12,500 + 30% above ₹ 10,00,000</w:t>
            </w:r>
          </w:p>
        </w:tc>
        <w:tc>
          <w:tcPr>
            <w:tcW w:w="3241" w:type="dxa"/>
            <w:shd w:val="clear" w:color="auto" w:fill="FFD966" w:themeFill="accent4" w:themeFillTint="99"/>
          </w:tcPr>
          <w:p w14:paraId="6D3C3CD6" w14:textId="31A9FE62" w:rsidR="00851986" w:rsidRDefault="00851986" w:rsidP="00851986">
            <w:pPr>
              <w:spacing w:line="240" w:lineRule="auto"/>
              <w:rPr>
                <w:b/>
                <w:bCs/>
              </w:rPr>
            </w:pPr>
            <w:r w:rsidRPr="00675E1E">
              <w:rPr>
                <w:b/>
                <w:bCs/>
              </w:rPr>
              <w:t>₹ 100,00,001- ₹ 200,00,000</w:t>
            </w:r>
          </w:p>
        </w:tc>
        <w:tc>
          <w:tcPr>
            <w:tcW w:w="2076" w:type="dxa"/>
            <w:shd w:val="clear" w:color="auto" w:fill="FFD966" w:themeFill="accent4" w:themeFillTint="99"/>
          </w:tcPr>
          <w:p w14:paraId="3AF6D3C1" w14:textId="463540A5" w:rsidR="00851986" w:rsidRDefault="00851986" w:rsidP="00851986">
            <w:pPr>
              <w:spacing w:line="240" w:lineRule="auto"/>
              <w:rPr>
                <w:b/>
                <w:bCs/>
              </w:rPr>
            </w:pPr>
            <w:r w:rsidRPr="00B63585">
              <w:rPr>
                <w:b/>
                <w:bCs/>
              </w:rPr>
              <w:t>₹ 1,40,000 + 30% above ₹ 15,00,000</w:t>
            </w:r>
          </w:p>
        </w:tc>
      </w:tr>
      <w:tr w:rsidR="00851986" w14:paraId="1769B1BF" w14:textId="77777777" w:rsidTr="00851986">
        <w:tblPrEx>
          <w:tblCellMar>
            <w:top w:w="0" w:type="dxa"/>
            <w:bottom w:w="0" w:type="dxa"/>
          </w:tblCellMar>
        </w:tblPrEx>
        <w:trPr>
          <w:trHeight w:val="905"/>
        </w:trPr>
        <w:tc>
          <w:tcPr>
            <w:tcW w:w="2459" w:type="dxa"/>
            <w:shd w:val="clear" w:color="auto" w:fill="FFD966" w:themeFill="accent4" w:themeFillTint="99"/>
          </w:tcPr>
          <w:p w14:paraId="6F8FE5BA" w14:textId="77777777" w:rsidR="00851986" w:rsidRPr="009156B3" w:rsidRDefault="00851986" w:rsidP="00851986">
            <w:pPr>
              <w:spacing w:line="240" w:lineRule="auto"/>
              <w:rPr>
                <w:b/>
                <w:bCs/>
              </w:rPr>
            </w:pPr>
          </w:p>
        </w:tc>
        <w:tc>
          <w:tcPr>
            <w:tcW w:w="2077" w:type="dxa"/>
            <w:shd w:val="clear" w:color="auto" w:fill="FFD966" w:themeFill="accent4" w:themeFillTint="99"/>
          </w:tcPr>
          <w:p w14:paraId="7E6D13EB" w14:textId="77777777" w:rsidR="00851986" w:rsidRPr="00DF632E" w:rsidRDefault="00851986" w:rsidP="00851986">
            <w:pPr>
              <w:spacing w:line="240" w:lineRule="auto"/>
              <w:rPr>
                <w:b/>
                <w:bCs/>
              </w:rPr>
            </w:pPr>
          </w:p>
        </w:tc>
        <w:tc>
          <w:tcPr>
            <w:tcW w:w="3241" w:type="dxa"/>
            <w:shd w:val="clear" w:color="auto" w:fill="FFD966" w:themeFill="accent4" w:themeFillTint="99"/>
          </w:tcPr>
          <w:p w14:paraId="39A2083F" w14:textId="519A15C6" w:rsidR="00851986" w:rsidRPr="00675E1E" w:rsidRDefault="00851986" w:rsidP="00851986">
            <w:pPr>
              <w:spacing w:line="240" w:lineRule="auto"/>
              <w:rPr>
                <w:b/>
                <w:bCs/>
              </w:rPr>
            </w:pPr>
            <w:r>
              <w:rPr>
                <w:b/>
                <w:bCs/>
              </w:rPr>
              <w:t xml:space="preserve">Above </w:t>
            </w:r>
            <w:r w:rsidRPr="00675E1E">
              <w:rPr>
                <w:b/>
                <w:bCs/>
              </w:rPr>
              <w:t>₹</w:t>
            </w:r>
            <w:r w:rsidRPr="00675E1E">
              <w:rPr>
                <w:b/>
                <w:bCs/>
              </w:rPr>
              <w:t xml:space="preserve"> </w:t>
            </w:r>
            <w:r>
              <w:rPr>
                <w:b/>
                <w:bCs/>
              </w:rPr>
              <w:t>20000000</w:t>
            </w:r>
          </w:p>
        </w:tc>
        <w:tc>
          <w:tcPr>
            <w:tcW w:w="2076" w:type="dxa"/>
            <w:shd w:val="clear" w:color="auto" w:fill="FFD966" w:themeFill="accent4" w:themeFillTint="99"/>
          </w:tcPr>
          <w:p w14:paraId="182325B1" w14:textId="4B4B172A" w:rsidR="00851986" w:rsidRDefault="00851986" w:rsidP="00851986">
            <w:pPr>
              <w:spacing w:line="240" w:lineRule="auto"/>
              <w:rPr>
                <w:b/>
                <w:bCs/>
              </w:rPr>
            </w:pPr>
            <w:r w:rsidRPr="00B63585">
              <w:rPr>
                <w:b/>
                <w:bCs/>
              </w:rPr>
              <w:t>₹ 1,40,000 + 30% above ₹ 15,00,000</w:t>
            </w:r>
          </w:p>
        </w:tc>
      </w:tr>
    </w:tbl>
    <w:p w14:paraId="6CE2A5AC" w14:textId="77777777" w:rsidR="00851986" w:rsidRDefault="00851986" w:rsidP="009F4604">
      <w:pPr>
        <w:rPr>
          <w:b/>
          <w:bCs/>
        </w:rPr>
      </w:pPr>
    </w:p>
    <w:p w14:paraId="2C47E365" w14:textId="692288B0" w:rsidR="009F4604" w:rsidRPr="009F4604" w:rsidRDefault="009F4604" w:rsidP="009F4604">
      <w:r w:rsidRPr="009F4604">
        <w:rPr>
          <w:b/>
          <w:bCs/>
        </w:rPr>
        <w:t>*Note:</w:t>
      </w:r>
      <w:r w:rsidRPr="009F4604">
        <w:t> The enhanced surcharge of 25% &amp; 37%, as the case may be, is not levied, from income chargeable to tax under sections 111A, 112, 112A and Dividend Income. Hence, the maximum rate of surcharge on tax payable on such incomes shall be 15%, except when the income is taxable under section 115A, 115AB, 115AC, 115ACA and 115E.</w:t>
      </w:r>
    </w:p>
    <w:p w14:paraId="5CEB7481" w14:textId="77777777" w:rsidR="009F4604" w:rsidRPr="009F4604" w:rsidRDefault="009F4604" w:rsidP="009F4604">
      <w:r w:rsidRPr="009F4604">
        <w:rPr>
          <w:b/>
          <w:bCs/>
        </w:rPr>
        <w:t>***Note:</w:t>
      </w:r>
      <w:r w:rsidRPr="009F4604">
        <w:t> Health &amp; Education cess @ 4% to be paid on the amount of income tax plus Surcharge (if any) in both the regimes.</w:t>
      </w:r>
    </w:p>
    <w:p w14:paraId="4FE15865" w14:textId="77777777" w:rsidR="009F4604" w:rsidRPr="009F4604" w:rsidRDefault="009F4604" w:rsidP="009F4604">
      <w:r w:rsidRPr="009F4604">
        <w:t>Marginal relief can be claimed from surcharge if the amount of income earned exceeding ₹ 50 lakhs, ₹ 1 crore, ₹ 2 crore or ₹ 5 crores respectively as under:</w:t>
      </w:r>
    </w:p>
    <w:tbl>
      <w:tblPr>
        <w:tblStyle w:val="TableGrid"/>
        <w:tblW w:w="10203" w:type="dxa"/>
        <w:tblInd w:w="-5" w:type="dxa"/>
        <w:tblLook w:val="04A0" w:firstRow="1" w:lastRow="0" w:firstColumn="1" w:lastColumn="0" w:noHBand="0" w:noVBand="1"/>
      </w:tblPr>
      <w:tblGrid>
        <w:gridCol w:w="1620"/>
        <w:gridCol w:w="1305"/>
        <w:gridCol w:w="7278"/>
      </w:tblGrid>
      <w:tr w:rsidR="00806461" w14:paraId="026D6900" w14:textId="6E1A7F66" w:rsidTr="00E3728C">
        <w:trPr>
          <w:trHeight w:val="647"/>
        </w:trPr>
        <w:tc>
          <w:tcPr>
            <w:tcW w:w="1620" w:type="dxa"/>
            <w:shd w:val="clear" w:color="auto" w:fill="1F3864" w:themeFill="accent1" w:themeFillShade="80"/>
          </w:tcPr>
          <w:p w14:paraId="48F1E1BA" w14:textId="7B638052" w:rsidR="00806461" w:rsidRDefault="00EF36E1" w:rsidP="000445E7">
            <w:pPr>
              <w:jc w:val="center"/>
            </w:pPr>
            <w:r w:rsidRPr="00EF36E1">
              <w:rPr>
                <w:b/>
                <w:bCs/>
              </w:rPr>
              <w:t>Exceeds (Rs.)</w:t>
            </w:r>
          </w:p>
        </w:tc>
        <w:tc>
          <w:tcPr>
            <w:tcW w:w="1305" w:type="dxa"/>
            <w:shd w:val="clear" w:color="auto" w:fill="1F3864" w:themeFill="accent1" w:themeFillShade="80"/>
          </w:tcPr>
          <w:p w14:paraId="015AB351" w14:textId="4BA576AC" w:rsidR="00806461" w:rsidRDefault="00FD656C" w:rsidP="000445E7">
            <w:pPr>
              <w:jc w:val="center"/>
            </w:pPr>
            <w:r w:rsidRPr="00FD656C">
              <w:rPr>
                <w:b/>
                <w:bCs/>
              </w:rPr>
              <w:t>Does not exceed (Rs.)</w:t>
            </w:r>
          </w:p>
        </w:tc>
        <w:tc>
          <w:tcPr>
            <w:tcW w:w="7278" w:type="dxa"/>
            <w:shd w:val="clear" w:color="auto" w:fill="1F3864" w:themeFill="accent1" w:themeFillShade="80"/>
          </w:tcPr>
          <w:p w14:paraId="09966D4F" w14:textId="04C6D4ED" w:rsidR="00806461" w:rsidRDefault="000445E7" w:rsidP="000445E7">
            <w:pPr>
              <w:jc w:val="center"/>
            </w:pPr>
            <w:r w:rsidRPr="000445E7">
              <w:rPr>
                <w:b/>
                <w:bCs/>
              </w:rPr>
              <w:t>Marginal Relief</w:t>
            </w:r>
          </w:p>
        </w:tc>
      </w:tr>
      <w:tr w:rsidR="00806461" w14:paraId="584CFFE3" w14:textId="19E3467B" w:rsidTr="00E3728C">
        <w:trPr>
          <w:trHeight w:val="826"/>
        </w:trPr>
        <w:tc>
          <w:tcPr>
            <w:tcW w:w="1620" w:type="dxa"/>
            <w:shd w:val="clear" w:color="auto" w:fill="1F3864" w:themeFill="accent1" w:themeFillShade="80"/>
          </w:tcPr>
          <w:p w14:paraId="3A61E2F7" w14:textId="6FB3D94E" w:rsidR="00806461" w:rsidRDefault="00D64797" w:rsidP="009F4604">
            <w:r w:rsidRPr="00D64797">
              <w:t>50 Lakh</w:t>
            </w:r>
          </w:p>
        </w:tc>
        <w:tc>
          <w:tcPr>
            <w:tcW w:w="1305" w:type="dxa"/>
            <w:shd w:val="clear" w:color="auto" w:fill="1F3864" w:themeFill="accent1" w:themeFillShade="80"/>
          </w:tcPr>
          <w:p w14:paraId="667C9A7E" w14:textId="1EBD9A4D" w:rsidR="00806461" w:rsidRDefault="00FA7176" w:rsidP="009F4604">
            <w:r>
              <w:t>1cr</w:t>
            </w:r>
          </w:p>
        </w:tc>
        <w:tc>
          <w:tcPr>
            <w:tcW w:w="7278" w:type="dxa"/>
            <w:shd w:val="clear" w:color="auto" w:fill="1F3864" w:themeFill="accent1" w:themeFillShade="80"/>
          </w:tcPr>
          <w:p w14:paraId="3F139302" w14:textId="1D24AC0B" w:rsidR="00806461" w:rsidRDefault="00D364C1" w:rsidP="009F4604">
            <w:r w:rsidRPr="00D364C1">
              <w:t>Amount payable as income tax and surcharge shall not exceed the total amount payable as income tax on total income of Rs 50 Lakh by more than the amount of income that exceeds Rs 50 Lakhs</w:t>
            </w:r>
          </w:p>
        </w:tc>
      </w:tr>
      <w:tr w:rsidR="00806461" w14:paraId="60F21AAA" w14:textId="04B2CF54" w:rsidTr="00E3728C">
        <w:trPr>
          <w:trHeight w:val="1121"/>
        </w:trPr>
        <w:tc>
          <w:tcPr>
            <w:tcW w:w="1620" w:type="dxa"/>
            <w:shd w:val="clear" w:color="auto" w:fill="1F3864" w:themeFill="accent1" w:themeFillShade="80"/>
          </w:tcPr>
          <w:p w14:paraId="1D01965C" w14:textId="5C28CD5F" w:rsidR="00806461" w:rsidRDefault="00D64797" w:rsidP="009F4604">
            <w:r>
              <w:t>1cro</w:t>
            </w:r>
            <w:r w:rsidR="00FD656C">
              <w:t>r</w:t>
            </w:r>
            <w:r>
              <w:t>e</w:t>
            </w:r>
          </w:p>
        </w:tc>
        <w:tc>
          <w:tcPr>
            <w:tcW w:w="1305" w:type="dxa"/>
            <w:shd w:val="clear" w:color="auto" w:fill="1F3864" w:themeFill="accent1" w:themeFillShade="80"/>
          </w:tcPr>
          <w:p w14:paraId="2A78D6F4" w14:textId="2863E026" w:rsidR="00806461" w:rsidRDefault="00FA7176" w:rsidP="009F4604">
            <w:r>
              <w:t>2cr</w:t>
            </w:r>
          </w:p>
        </w:tc>
        <w:tc>
          <w:tcPr>
            <w:tcW w:w="7278" w:type="dxa"/>
            <w:shd w:val="clear" w:color="auto" w:fill="1F3864" w:themeFill="accent1" w:themeFillShade="80"/>
          </w:tcPr>
          <w:p w14:paraId="5AC87B1E" w14:textId="0843019D" w:rsidR="00806461" w:rsidRDefault="009C0495" w:rsidP="009F4604">
            <w:r w:rsidRPr="009C0495">
              <w:t>Amount payable as income tax and surcharge shall not exceed the total amount payable as income-tax on total income of Rs. 1 crore by more than the amount of income that exceeds Rs. 1 crore</w:t>
            </w:r>
          </w:p>
        </w:tc>
      </w:tr>
      <w:tr w:rsidR="00806461" w14:paraId="372D34D1" w14:textId="77777777" w:rsidTr="00E3728C">
        <w:trPr>
          <w:trHeight w:val="1430"/>
        </w:trPr>
        <w:tc>
          <w:tcPr>
            <w:tcW w:w="1620" w:type="dxa"/>
            <w:shd w:val="clear" w:color="auto" w:fill="1F3864" w:themeFill="accent1" w:themeFillShade="80"/>
          </w:tcPr>
          <w:p w14:paraId="41E4D930" w14:textId="6854F8D4" w:rsidR="00806461" w:rsidRDefault="00D64797" w:rsidP="009F4604">
            <w:r>
              <w:t>2cro</w:t>
            </w:r>
            <w:r w:rsidR="00FD656C">
              <w:t>r</w:t>
            </w:r>
            <w:r>
              <w:t>e</w:t>
            </w:r>
          </w:p>
        </w:tc>
        <w:tc>
          <w:tcPr>
            <w:tcW w:w="1305" w:type="dxa"/>
            <w:shd w:val="clear" w:color="auto" w:fill="1F3864" w:themeFill="accent1" w:themeFillShade="80"/>
          </w:tcPr>
          <w:p w14:paraId="036CED2B" w14:textId="5541B9D0" w:rsidR="00806461" w:rsidRDefault="00FA7176" w:rsidP="009F4604">
            <w:r>
              <w:t>5cr</w:t>
            </w:r>
          </w:p>
        </w:tc>
        <w:tc>
          <w:tcPr>
            <w:tcW w:w="7278" w:type="dxa"/>
            <w:shd w:val="clear" w:color="auto" w:fill="1F3864" w:themeFill="accent1" w:themeFillShade="80"/>
          </w:tcPr>
          <w:p w14:paraId="04D33F3A" w14:textId="24B666B3" w:rsidR="00806461" w:rsidRDefault="009C0495" w:rsidP="009F4604">
            <w:r w:rsidRPr="009C0495">
              <w:t xml:space="preserve">Amount payable as income tax and surcharge shall not exceed the total amount payable as income-tax on total income of Rs. 2 </w:t>
            </w:r>
            <w:proofErr w:type="gramStart"/>
            <w:r w:rsidRPr="009C0495">
              <w:t>crore</w:t>
            </w:r>
            <w:proofErr w:type="gramEnd"/>
            <w:r w:rsidRPr="009C0495">
              <w:t xml:space="preserve"> by more than the amount of income that exceeds Rs. 2 </w:t>
            </w:r>
            <w:proofErr w:type="gramStart"/>
            <w:r w:rsidRPr="009C0495">
              <w:t>crore</w:t>
            </w:r>
            <w:proofErr w:type="gramEnd"/>
          </w:p>
        </w:tc>
      </w:tr>
      <w:tr w:rsidR="00806461" w14:paraId="4C3AB481" w14:textId="77777777" w:rsidTr="00E3728C">
        <w:trPr>
          <w:trHeight w:val="1124"/>
        </w:trPr>
        <w:tc>
          <w:tcPr>
            <w:tcW w:w="1620" w:type="dxa"/>
            <w:shd w:val="clear" w:color="auto" w:fill="1F3864" w:themeFill="accent1" w:themeFillShade="80"/>
          </w:tcPr>
          <w:p w14:paraId="71B754AF" w14:textId="4CD005BD" w:rsidR="00806461" w:rsidRDefault="00D64797" w:rsidP="009F4604">
            <w:r>
              <w:lastRenderedPageBreak/>
              <w:t>5cro</w:t>
            </w:r>
            <w:r w:rsidR="00FD656C">
              <w:t>r</w:t>
            </w:r>
            <w:r>
              <w:t>e</w:t>
            </w:r>
          </w:p>
        </w:tc>
        <w:tc>
          <w:tcPr>
            <w:tcW w:w="1305" w:type="dxa"/>
            <w:shd w:val="clear" w:color="auto" w:fill="1F3864" w:themeFill="accent1" w:themeFillShade="80"/>
          </w:tcPr>
          <w:p w14:paraId="2138B1DD" w14:textId="77777777" w:rsidR="00806461" w:rsidRDefault="00806461" w:rsidP="009F4604"/>
        </w:tc>
        <w:tc>
          <w:tcPr>
            <w:tcW w:w="7278" w:type="dxa"/>
            <w:shd w:val="clear" w:color="auto" w:fill="1F3864" w:themeFill="accent1" w:themeFillShade="80"/>
          </w:tcPr>
          <w:p w14:paraId="170C4188" w14:textId="50DE1F5A" w:rsidR="00806461" w:rsidRDefault="004F6CB4" w:rsidP="009F4604">
            <w:r w:rsidRPr="004F6CB4">
              <w:t xml:space="preserve">Amount payable as income tax and surcharge shall not exceed the total amount payable as income-tax on total income of Rs. 5 </w:t>
            </w:r>
            <w:proofErr w:type="gramStart"/>
            <w:r w:rsidRPr="004F6CB4">
              <w:t>crore</w:t>
            </w:r>
            <w:proofErr w:type="gramEnd"/>
            <w:r w:rsidRPr="004F6CB4">
              <w:t xml:space="preserve"> by more than the amount of income that exceeds Rs. 5 </w:t>
            </w:r>
            <w:proofErr w:type="gramStart"/>
            <w:r w:rsidRPr="004F6CB4">
              <w:t>crore</w:t>
            </w:r>
            <w:proofErr w:type="gramEnd"/>
            <w:r w:rsidRPr="004F6CB4">
              <w:t>.</w:t>
            </w:r>
          </w:p>
        </w:tc>
      </w:tr>
    </w:tbl>
    <w:p w14:paraId="13090B3D" w14:textId="77777777" w:rsidR="009F4604" w:rsidRPr="009F4604" w:rsidRDefault="009F4604" w:rsidP="009F4604">
      <w:r w:rsidRPr="009F4604">
        <w:t> </w:t>
      </w:r>
    </w:p>
    <w:p w14:paraId="1FEDCEAF" w14:textId="6D41AF02" w:rsidR="009F4604" w:rsidRPr="008C4B07" w:rsidRDefault="00A85851" w:rsidP="001E6D04">
      <w:pPr>
        <w:rPr>
          <w:rFonts w:asciiTheme="majorHAnsi" w:hAnsiTheme="majorHAnsi" w:cstheme="majorHAnsi"/>
          <w:i/>
          <w:iCs/>
        </w:rPr>
      </w:pPr>
      <w:r w:rsidRPr="008C4B07">
        <w:rPr>
          <w:rFonts w:asciiTheme="majorHAnsi" w:hAnsiTheme="majorHAnsi" w:cstheme="majorHAnsi"/>
          <w:i/>
          <w:iCs/>
        </w:rPr>
        <w:t>NOTE:</w:t>
      </w:r>
    </w:p>
    <w:p w14:paraId="33BA5034" w14:textId="3B202C52" w:rsidR="0097665C" w:rsidRPr="008C4B07" w:rsidRDefault="0097665C" w:rsidP="001E6D04">
      <w:pPr>
        <w:rPr>
          <w:rFonts w:asciiTheme="majorHAnsi" w:hAnsiTheme="majorHAnsi" w:cstheme="majorHAnsi"/>
          <w:i/>
          <w:iCs/>
        </w:rPr>
      </w:pPr>
      <w:r w:rsidRPr="008C4B07">
        <w:rPr>
          <w:rFonts w:asciiTheme="majorHAnsi" w:hAnsiTheme="majorHAnsi" w:cstheme="majorHAnsi"/>
          <w:i/>
          <w:iCs/>
        </w:rPr>
        <w:t xml:space="preserve">FOR MORE INFORMATION ABOUT TAX REGIME </w:t>
      </w:r>
      <w:r w:rsidR="008C4B07" w:rsidRPr="008C4B07">
        <w:rPr>
          <w:rFonts w:asciiTheme="majorHAnsi" w:hAnsiTheme="majorHAnsi" w:cstheme="majorHAnsi"/>
          <w:i/>
          <w:iCs/>
        </w:rPr>
        <w:t>CLICK HERE &gt;&gt;&gt;</w:t>
      </w:r>
      <w:hyperlink r:id="rId7" w:history="1">
        <w:r w:rsidR="008C4B07" w:rsidRPr="008C4B07">
          <w:rPr>
            <w:rStyle w:val="Hyperlink"/>
            <w:rFonts w:asciiTheme="majorHAnsi" w:hAnsiTheme="majorHAnsi" w:cstheme="majorHAnsi"/>
            <w:i/>
            <w:iCs/>
          </w:rPr>
          <w:t>https://www.incometax.gov.in/iec/foportal/</w:t>
        </w:r>
      </w:hyperlink>
    </w:p>
    <w:sectPr w:rsidR="0097665C" w:rsidRPr="008C4B07" w:rsidSect="00605832">
      <w:head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29B42" w14:textId="77777777" w:rsidR="00D94986" w:rsidRDefault="00D94986" w:rsidP="00D94986">
      <w:pPr>
        <w:spacing w:after="0" w:line="240" w:lineRule="auto"/>
      </w:pPr>
      <w:r>
        <w:separator/>
      </w:r>
    </w:p>
  </w:endnote>
  <w:endnote w:type="continuationSeparator" w:id="0">
    <w:p w14:paraId="1611A6F7" w14:textId="77777777" w:rsidR="00D94986" w:rsidRDefault="00D94986" w:rsidP="00D94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E916D" w14:textId="77777777" w:rsidR="00D94986" w:rsidRDefault="00D94986" w:rsidP="00D94986">
      <w:pPr>
        <w:spacing w:after="0" w:line="240" w:lineRule="auto"/>
      </w:pPr>
      <w:r>
        <w:separator/>
      </w:r>
    </w:p>
  </w:footnote>
  <w:footnote w:type="continuationSeparator" w:id="0">
    <w:p w14:paraId="73DF324D" w14:textId="77777777" w:rsidR="00D94986" w:rsidRDefault="00D94986" w:rsidP="00D94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74E65" w14:textId="180C42FC" w:rsidR="00E012F1" w:rsidRPr="000161F1" w:rsidRDefault="00E012F1" w:rsidP="00E012F1">
    <w:pPr>
      <w:rPr>
        <w:lang w:val="en-US"/>
      </w:rPr>
    </w:pPr>
    <w:r>
      <w:rPr>
        <w:lang w:val="en-US"/>
      </w:rPr>
      <w:t>TAX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02B9"/>
    <w:multiLevelType w:val="multilevel"/>
    <w:tmpl w:val="5F22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90D28"/>
    <w:multiLevelType w:val="multilevel"/>
    <w:tmpl w:val="B964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D1CBD"/>
    <w:multiLevelType w:val="multilevel"/>
    <w:tmpl w:val="5402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04FEB"/>
    <w:multiLevelType w:val="multilevel"/>
    <w:tmpl w:val="7CA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278C7"/>
    <w:multiLevelType w:val="multilevel"/>
    <w:tmpl w:val="68C2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97182"/>
    <w:multiLevelType w:val="multilevel"/>
    <w:tmpl w:val="CD3E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432DC"/>
    <w:multiLevelType w:val="multilevel"/>
    <w:tmpl w:val="D880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C069D"/>
    <w:multiLevelType w:val="multilevel"/>
    <w:tmpl w:val="E0CC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0444A"/>
    <w:multiLevelType w:val="multilevel"/>
    <w:tmpl w:val="1622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454D6"/>
    <w:multiLevelType w:val="multilevel"/>
    <w:tmpl w:val="D5F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87F73"/>
    <w:multiLevelType w:val="multilevel"/>
    <w:tmpl w:val="8C04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7694A"/>
    <w:multiLevelType w:val="multilevel"/>
    <w:tmpl w:val="F9BC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698539">
    <w:abstractNumId w:val="7"/>
  </w:num>
  <w:num w:numId="2" w16cid:durableId="689188048">
    <w:abstractNumId w:val="8"/>
  </w:num>
  <w:num w:numId="3" w16cid:durableId="1616400933">
    <w:abstractNumId w:val="11"/>
  </w:num>
  <w:num w:numId="4" w16cid:durableId="450560804">
    <w:abstractNumId w:val="2"/>
  </w:num>
  <w:num w:numId="5" w16cid:durableId="1282766701">
    <w:abstractNumId w:val="6"/>
  </w:num>
  <w:num w:numId="6" w16cid:durableId="383523720">
    <w:abstractNumId w:val="9"/>
  </w:num>
  <w:num w:numId="7" w16cid:durableId="2140416416">
    <w:abstractNumId w:val="10"/>
  </w:num>
  <w:num w:numId="8" w16cid:durableId="1553420173">
    <w:abstractNumId w:val="1"/>
  </w:num>
  <w:num w:numId="9" w16cid:durableId="1849708916">
    <w:abstractNumId w:val="3"/>
  </w:num>
  <w:num w:numId="10" w16cid:durableId="1335647813">
    <w:abstractNumId w:val="4"/>
  </w:num>
  <w:num w:numId="11" w16cid:durableId="2131511948">
    <w:abstractNumId w:val="0"/>
  </w:num>
  <w:num w:numId="12" w16cid:durableId="1562323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05"/>
    <w:rsid w:val="000161F1"/>
    <w:rsid w:val="000445E7"/>
    <w:rsid w:val="000D3B19"/>
    <w:rsid w:val="000E0E05"/>
    <w:rsid w:val="0017028A"/>
    <w:rsid w:val="00193ADD"/>
    <w:rsid w:val="001E6D04"/>
    <w:rsid w:val="001F7372"/>
    <w:rsid w:val="00204AB9"/>
    <w:rsid w:val="00283DE4"/>
    <w:rsid w:val="002C4B44"/>
    <w:rsid w:val="002F26E4"/>
    <w:rsid w:val="0031055C"/>
    <w:rsid w:val="003B346E"/>
    <w:rsid w:val="003C3F47"/>
    <w:rsid w:val="003D6FD1"/>
    <w:rsid w:val="004F6CB4"/>
    <w:rsid w:val="00502862"/>
    <w:rsid w:val="00545802"/>
    <w:rsid w:val="005B1E5C"/>
    <w:rsid w:val="005B48FB"/>
    <w:rsid w:val="005D4115"/>
    <w:rsid w:val="00605832"/>
    <w:rsid w:val="00632483"/>
    <w:rsid w:val="00640062"/>
    <w:rsid w:val="00654607"/>
    <w:rsid w:val="00663981"/>
    <w:rsid w:val="00675E1E"/>
    <w:rsid w:val="006A4D2B"/>
    <w:rsid w:val="0073001C"/>
    <w:rsid w:val="007663E6"/>
    <w:rsid w:val="00766D7C"/>
    <w:rsid w:val="00806461"/>
    <w:rsid w:val="0080692E"/>
    <w:rsid w:val="00851986"/>
    <w:rsid w:val="00884CD6"/>
    <w:rsid w:val="008C4B07"/>
    <w:rsid w:val="008E0AAE"/>
    <w:rsid w:val="009156B3"/>
    <w:rsid w:val="0093375C"/>
    <w:rsid w:val="00936956"/>
    <w:rsid w:val="00956DD5"/>
    <w:rsid w:val="00964B0B"/>
    <w:rsid w:val="0097665C"/>
    <w:rsid w:val="009C0495"/>
    <w:rsid w:val="009D709F"/>
    <w:rsid w:val="009F4604"/>
    <w:rsid w:val="00A41915"/>
    <w:rsid w:val="00A641D0"/>
    <w:rsid w:val="00A85851"/>
    <w:rsid w:val="00AE0A28"/>
    <w:rsid w:val="00B424C8"/>
    <w:rsid w:val="00B438EB"/>
    <w:rsid w:val="00B562E2"/>
    <w:rsid w:val="00B63585"/>
    <w:rsid w:val="00B873AF"/>
    <w:rsid w:val="00BF1417"/>
    <w:rsid w:val="00C025A1"/>
    <w:rsid w:val="00D12574"/>
    <w:rsid w:val="00D2071C"/>
    <w:rsid w:val="00D364C1"/>
    <w:rsid w:val="00D64797"/>
    <w:rsid w:val="00D94986"/>
    <w:rsid w:val="00D95CBB"/>
    <w:rsid w:val="00DB2FCF"/>
    <w:rsid w:val="00DC13CD"/>
    <w:rsid w:val="00DD6172"/>
    <w:rsid w:val="00DE026A"/>
    <w:rsid w:val="00DF632E"/>
    <w:rsid w:val="00E012F1"/>
    <w:rsid w:val="00E235E8"/>
    <w:rsid w:val="00E3728C"/>
    <w:rsid w:val="00E403CD"/>
    <w:rsid w:val="00EA12EA"/>
    <w:rsid w:val="00EB69B0"/>
    <w:rsid w:val="00EE582A"/>
    <w:rsid w:val="00EF36E1"/>
    <w:rsid w:val="00F1490F"/>
    <w:rsid w:val="00F53C71"/>
    <w:rsid w:val="00FA7176"/>
    <w:rsid w:val="00FD1D33"/>
    <w:rsid w:val="00FD656C"/>
    <w:rsid w:val="00FF0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37A789"/>
  <w15:chartTrackingRefBased/>
  <w15:docId w15:val="{E4CF25BB-CC4C-43FF-8562-6ABC367E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E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0E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0E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0E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0E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0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E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0E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0E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0E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0E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0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E05"/>
    <w:rPr>
      <w:rFonts w:eastAsiaTheme="majorEastAsia" w:cstheme="majorBidi"/>
      <w:color w:val="272727" w:themeColor="text1" w:themeTint="D8"/>
    </w:rPr>
  </w:style>
  <w:style w:type="paragraph" w:styleId="Title">
    <w:name w:val="Title"/>
    <w:basedOn w:val="Normal"/>
    <w:next w:val="Normal"/>
    <w:link w:val="TitleChar"/>
    <w:uiPriority w:val="10"/>
    <w:qFormat/>
    <w:rsid w:val="000E0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E05"/>
    <w:pPr>
      <w:spacing w:before="160"/>
      <w:jc w:val="center"/>
    </w:pPr>
    <w:rPr>
      <w:i/>
      <w:iCs/>
      <w:color w:val="404040" w:themeColor="text1" w:themeTint="BF"/>
    </w:rPr>
  </w:style>
  <w:style w:type="character" w:customStyle="1" w:styleId="QuoteChar">
    <w:name w:val="Quote Char"/>
    <w:basedOn w:val="DefaultParagraphFont"/>
    <w:link w:val="Quote"/>
    <w:uiPriority w:val="29"/>
    <w:rsid w:val="000E0E05"/>
    <w:rPr>
      <w:i/>
      <w:iCs/>
      <w:color w:val="404040" w:themeColor="text1" w:themeTint="BF"/>
    </w:rPr>
  </w:style>
  <w:style w:type="paragraph" w:styleId="ListParagraph">
    <w:name w:val="List Paragraph"/>
    <w:basedOn w:val="Normal"/>
    <w:uiPriority w:val="34"/>
    <w:qFormat/>
    <w:rsid w:val="000E0E05"/>
    <w:pPr>
      <w:ind w:left="720"/>
      <w:contextualSpacing/>
    </w:pPr>
  </w:style>
  <w:style w:type="character" w:styleId="IntenseEmphasis">
    <w:name w:val="Intense Emphasis"/>
    <w:basedOn w:val="DefaultParagraphFont"/>
    <w:uiPriority w:val="21"/>
    <w:qFormat/>
    <w:rsid w:val="000E0E05"/>
    <w:rPr>
      <w:i/>
      <w:iCs/>
      <w:color w:val="2F5496" w:themeColor="accent1" w:themeShade="BF"/>
    </w:rPr>
  </w:style>
  <w:style w:type="paragraph" w:styleId="IntenseQuote">
    <w:name w:val="Intense Quote"/>
    <w:basedOn w:val="Normal"/>
    <w:next w:val="Normal"/>
    <w:link w:val="IntenseQuoteChar"/>
    <w:uiPriority w:val="30"/>
    <w:qFormat/>
    <w:rsid w:val="000E0E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E05"/>
    <w:rPr>
      <w:i/>
      <w:iCs/>
      <w:color w:val="2F5496" w:themeColor="accent1" w:themeShade="BF"/>
    </w:rPr>
  </w:style>
  <w:style w:type="character" w:styleId="IntenseReference">
    <w:name w:val="Intense Reference"/>
    <w:basedOn w:val="DefaultParagraphFont"/>
    <w:uiPriority w:val="32"/>
    <w:qFormat/>
    <w:rsid w:val="000E0E05"/>
    <w:rPr>
      <w:b/>
      <w:bCs/>
      <w:smallCaps/>
      <w:color w:val="2F5496" w:themeColor="accent1" w:themeShade="BF"/>
      <w:spacing w:val="5"/>
    </w:rPr>
  </w:style>
  <w:style w:type="table" w:styleId="TableGrid">
    <w:name w:val="Table Grid"/>
    <w:basedOn w:val="TableNormal"/>
    <w:uiPriority w:val="39"/>
    <w:rsid w:val="001E6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6D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E6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D04"/>
  </w:style>
  <w:style w:type="paragraph" w:styleId="Footer">
    <w:name w:val="footer"/>
    <w:basedOn w:val="Normal"/>
    <w:link w:val="FooterChar"/>
    <w:uiPriority w:val="99"/>
    <w:unhideWhenUsed/>
    <w:rsid w:val="001E6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D04"/>
  </w:style>
  <w:style w:type="character" w:styleId="Hyperlink">
    <w:name w:val="Hyperlink"/>
    <w:basedOn w:val="DefaultParagraphFont"/>
    <w:uiPriority w:val="99"/>
    <w:unhideWhenUsed/>
    <w:rsid w:val="00936956"/>
    <w:rPr>
      <w:color w:val="0563C1" w:themeColor="hyperlink"/>
      <w:u w:val="single"/>
    </w:rPr>
  </w:style>
  <w:style w:type="character" w:styleId="UnresolvedMention">
    <w:name w:val="Unresolved Mention"/>
    <w:basedOn w:val="DefaultParagraphFont"/>
    <w:uiPriority w:val="99"/>
    <w:semiHidden/>
    <w:unhideWhenUsed/>
    <w:rsid w:val="00936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24892">
      <w:bodyDiv w:val="1"/>
      <w:marLeft w:val="0"/>
      <w:marRight w:val="0"/>
      <w:marTop w:val="0"/>
      <w:marBottom w:val="0"/>
      <w:divBdr>
        <w:top w:val="none" w:sz="0" w:space="0" w:color="auto"/>
        <w:left w:val="none" w:sz="0" w:space="0" w:color="auto"/>
        <w:bottom w:val="none" w:sz="0" w:space="0" w:color="auto"/>
        <w:right w:val="none" w:sz="0" w:space="0" w:color="auto"/>
      </w:divBdr>
    </w:div>
    <w:div w:id="184636371">
      <w:bodyDiv w:val="1"/>
      <w:marLeft w:val="0"/>
      <w:marRight w:val="0"/>
      <w:marTop w:val="0"/>
      <w:marBottom w:val="0"/>
      <w:divBdr>
        <w:top w:val="none" w:sz="0" w:space="0" w:color="auto"/>
        <w:left w:val="none" w:sz="0" w:space="0" w:color="auto"/>
        <w:bottom w:val="none" w:sz="0" w:space="0" w:color="auto"/>
        <w:right w:val="none" w:sz="0" w:space="0" w:color="auto"/>
      </w:divBdr>
    </w:div>
    <w:div w:id="790050855">
      <w:bodyDiv w:val="1"/>
      <w:marLeft w:val="0"/>
      <w:marRight w:val="0"/>
      <w:marTop w:val="0"/>
      <w:marBottom w:val="0"/>
      <w:divBdr>
        <w:top w:val="none" w:sz="0" w:space="0" w:color="auto"/>
        <w:left w:val="none" w:sz="0" w:space="0" w:color="auto"/>
        <w:bottom w:val="none" w:sz="0" w:space="0" w:color="auto"/>
        <w:right w:val="none" w:sz="0" w:space="0" w:color="auto"/>
      </w:divBdr>
    </w:div>
    <w:div w:id="973408741">
      <w:bodyDiv w:val="1"/>
      <w:marLeft w:val="0"/>
      <w:marRight w:val="0"/>
      <w:marTop w:val="0"/>
      <w:marBottom w:val="0"/>
      <w:divBdr>
        <w:top w:val="none" w:sz="0" w:space="0" w:color="auto"/>
        <w:left w:val="none" w:sz="0" w:space="0" w:color="auto"/>
        <w:bottom w:val="none" w:sz="0" w:space="0" w:color="auto"/>
        <w:right w:val="none" w:sz="0" w:space="0" w:color="auto"/>
      </w:divBdr>
    </w:div>
    <w:div w:id="1041394719">
      <w:bodyDiv w:val="1"/>
      <w:marLeft w:val="0"/>
      <w:marRight w:val="0"/>
      <w:marTop w:val="0"/>
      <w:marBottom w:val="0"/>
      <w:divBdr>
        <w:top w:val="none" w:sz="0" w:space="0" w:color="auto"/>
        <w:left w:val="none" w:sz="0" w:space="0" w:color="auto"/>
        <w:bottom w:val="none" w:sz="0" w:space="0" w:color="auto"/>
        <w:right w:val="none" w:sz="0" w:space="0" w:color="auto"/>
      </w:divBdr>
    </w:div>
    <w:div w:id="1082215781">
      <w:bodyDiv w:val="1"/>
      <w:marLeft w:val="0"/>
      <w:marRight w:val="0"/>
      <w:marTop w:val="0"/>
      <w:marBottom w:val="0"/>
      <w:divBdr>
        <w:top w:val="none" w:sz="0" w:space="0" w:color="auto"/>
        <w:left w:val="none" w:sz="0" w:space="0" w:color="auto"/>
        <w:bottom w:val="none" w:sz="0" w:space="0" w:color="auto"/>
        <w:right w:val="none" w:sz="0" w:space="0" w:color="auto"/>
      </w:divBdr>
    </w:div>
    <w:div w:id="1346011043">
      <w:bodyDiv w:val="1"/>
      <w:marLeft w:val="0"/>
      <w:marRight w:val="0"/>
      <w:marTop w:val="0"/>
      <w:marBottom w:val="0"/>
      <w:divBdr>
        <w:top w:val="none" w:sz="0" w:space="0" w:color="auto"/>
        <w:left w:val="none" w:sz="0" w:space="0" w:color="auto"/>
        <w:bottom w:val="none" w:sz="0" w:space="0" w:color="auto"/>
        <w:right w:val="none" w:sz="0" w:space="0" w:color="auto"/>
      </w:divBdr>
    </w:div>
    <w:div w:id="1391222579">
      <w:bodyDiv w:val="1"/>
      <w:marLeft w:val="0"/>
      <w:marRight w:val="0"/>
      <w:marTop w:val="0"/>
      <w:marBottom w:val="0"/>
      <w:divBdr>
        <w:top w:val="none" w:sz="0" w:space="0" w:color="auto"/>
        <w:left w:val="none" w:sz="0" w:space="0" w:color="auto"/>
        <w:bottom w:val="none" w:sz="0" w:space="0" w:color="auto"/>
        <w:right w:val="none" w:sz="0" w:space="0" w:color="auto"/>
      </w:divBdr>
    </w:div>
    <w:div w:id="1477840719">
      <w:bodyDiv w:val="1"/>
      <w:marLeft w:val="0"/>
      <w:marRight w:val="0"/>
      <w:marTop w:val="0"/>
      <w:marBottom w:val="0"/>
      <w:divBdr>
        <w:top w:val="none" w:sz="0" w:space="0" w:color="auto"/>
        <w:left w:val="none" w:sz="0" w:space="0" w:color="auto"/>
        <w:bottom w:val="none" w:sz="0" w:space="0" w:color="auto"/>
        <w:right w:val="none" w:sz="0" w:space="0" w:color="auto"/>
      </w:divBdr>
    </w:div>
    <w:div w:id="1524980130">
      <w:bodyDiv w:val="1"/>
      <w:marLeft w:val="0"/>
      <w:marRight w:val="0"/>
      <w:marTop w:val="0"/>
      <w:marBottom w:val="0"/>
      <w:divBdr>
        <w:top w:val="none" w:sz="0" w:space="0" w:color="auto"/>
        <w:left w:val="none" w:sz="0" w:space="0" w:color="auto"/>
        <w:bottom w:val="none" w:sz="0" w:space="0" w:color="auto"/>
        <w:right w:val="none" w:sz="0" w:space="0" w:color="auto"/>
      </w:divBdr>
    </w:div>
    <w:div w:id="1806316019">
      <w:bodyDiv w:val="1"/>
      <w:marLeft w:val="0"/>
      <w:marRight w:val="0"/>
      <w:marTop w:val="0"/>
      <w:marBottom w:val="0"/>
      <w:divBdr>
        <w:top w:val="none" w:sz="0" w:space="0" w:color="auto"/>
        <w:left w:val="none" w:sz="0" w:space="0" w:color="auto"/>
        <w:bottom w:val="none" w:sz="0" w:space="0" w:color="auto"/>
        <w:right w:val="none" w:sz="0" w:space="0" w:color="auto"/>
      </w:divBdr>
    </w:div>
    <w:div w:id="18913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cometax.gov.in/iec/fo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raj</dc:creator>
  <cp:keywords/>
  <dc:description/>
  <cp:lastModifiedBy>sabari raj</cp:lastModifiedBy>
  <cp:revision>79</cp:revision>
  <dcterms:created xsi:type="dcterms:W3CDTF">2025-01-28T08:29:00Z</dcterms:created>
  <dcterms:modified xsi:type="dcterms:W3CDTF">2025-01-29T09:27:00Z</dcterms:modified>
</cp:coreProperties>
</file>