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391"/>
        <w:tblW w:w="1026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85"/>
        <w:gridCol w:w="3087"/>
        <w:gridCol w:w="5697"/>
      </w:tblGrid>
      <w:tr w:rsidR="00047D74" w:rsidRPr="005A2F16" w14:paraId="712023A4" w14:textId="77777777" w:rsidTr="00047D74">
        <w:trPr>
          <w:trHeight w:val="381"/>
          <w:tblHeader/>
        </w:trPr>
        <w:tc>
          <w:tcPr>
            <w:tcW w:w="0" w:type="auto"/>
            <w:tcBorders>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6407AE02" w14:textId="77777777" w:rsidR="00047D74" w:rsidRPr="005A2F16" w:rsidRDefault="00047D74" w:rsidP="00047D74">
            <w:pPr>
              <w:jc w:val="center"/>
              <w:rPr>
                <w:b/>
                <w:bCs/>
                <w:color w:val="FFD966" w:themeColor="accent4" w:themeTint="99"/>
              </w:rPr>
            </w:pPr>
            <w:r w:rsidRPr="005A2F16">
              <w:rPr>
                <w:b/>
                <w:bCs/>
                <w:color w:val="FFD966" w:themeColor="accent4" w:themeTint="99"/>
              </w:rPr>
              <w:t>Risk Category</w:t>
            </w:r>
          </w:p>
        </w:tc>
        <w:tc>
          <w:tcPr>
            <w:tcW w:w="0" w:type="auto"/>
            <w:tcBorders>
              <w:left w:val="single" w:sz="4" w:space="0" w:color="auto"/>
              <w:bottom w:val="single" w:sz="4" w:space="0" w:color="auto"/>
              <w:right w:val="single" w:sz="4" w:space="0" w:color="auto"/>
            </w:tcBorders>
            <w:shd w:val="clear" w:color="auto" w:fill="1F3864" w:themeFill="accent1" w:themeFillShade="80"/>
            <w:vAlign w:val="center"/>
            <w:hideMark/>
          </w:tcPr>
          <w:p w14:paraId="15AB5DFE" w14:textId="77777777" w:rsidR="00047D74" w:rsidRPr="005A2F16" w:rsidRDefault="00047D74" w:rsidP="00047D74">
            <w:pPr>
              <w:jc w:val="center"/>
              <w:rPr>
                <w:b/>
                <w:bCs/>
                <w:color w:val="FFD966" w:themeColor="accent4" w:themeTint="99"/>
              </w:rPr>
            </w:pPr>
            <w:r w:rsidRPr="005A2F16">
              <w:rPr>
                <w:b/>
                <w:bCs/>
                <w:color w:val="FFD966" w:themeColor="accent4" w:themeTint="99"/>
              </w:rPr>
              <w:t>Potential Risks</w:t>
            </w:r>
          </w:p>
        </w:tc>
        <w:tc>
          <w:tcPr>
            <w:tcW w:w="0" w:type="auto"/>
            <w:tcBorders>
              <w:left w:val="single" w:sz="4" w:space="0" w:color="auto"/>
              <w:bottom w:val="single" w:sz="4" w:space="0" w:color="auto"/>
            </w:tcBorders>
            <w:shd w:val="clear" w:color="auto" w:fill="1F3864" w:themeFill="accent1" w:themeFillShade="80"/>
            <w:vAlign w:val="center"/>
            <w:hideMark/>
          </w:tcPr>
          <w:p w14:paraId="6A4195E3" w14:textId="77777777" w:rsidR="00047D74" w:rsidRPr="005A2F16" w:rsidRDefault="00047D74" w:rsidP="00047D74">
            <w:pPr>
              <w:jc w:val="center"/>
              <w:rPr>
                <w:b/>
                <w:bCs/>
                <w:color w:val="FFD966" w:themeColor="accent4" w:themeTint="99"/>
              </w:rPr>
            </w:pPr>
            <w:r w:rsidRPr="005A2F16">
              <w:rPr>
                <w:b/>
                <w:bCs/>
                <w:color w:val="FFD966" w:themeColor="accent4" w:themeTint="99"/>
              </w:rPr>
              <w:t>Proposed Solutions</w:t>
            </w:r>
          </w:p>
        </w:tc>
      </w:tr>
      <w:tr w:rsidR="00047D74" w:rsidRPr="005A2F16" w14:paraId="2A12E6C9" w14:textId="77777777" w:rsidTr="00047D74">
        <w:trPr>
          <w:trHeight w:val="2131"/>
        </w:trPr>
        <w:tc>
          <w:tcPr>
            <w:tcW w:w="0" w:type="auto"/>
            <w:vMerge w:val="restart"/>
            <w:tcBorders>
              <w:top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79044648" w14:textId="77777777" w:rsidR="00047D74" w:rsidRPr="005A2F16" w:rsidRDefault="00047D74" w:rsidP="00205EFE">
            <w:r w:rsidRPr="005A2F16">
              <w:rPr>
                <w:b/>
                <w:bCs/>
              </w:rPr>
              <w:t>1. Legal Compliance</w:t>
            </w:r>
          </w:p>
        </w:tc>
        <w:tc>
          <w:tcPr>
            <w:tcW w:w="0" w:type="auto"/>
            <w:vMerge w:val="restart"/>
            <w:tcBorders>
              <w:top w:val="single" w:sz="4" w:space="0" w:color="auto"/>
              <w:left w:val="single" w:sz="4" w:space="0" w:color="auto"/>
              <w:right w:val="single" w:sz="4" w:space="0" w:color="auto"/>
            </w:tcBorders>
            <w:shd w:val="clear" w:color="auto" w:fill="1F3864" w:themeFill="accent1" w:themeFillShade="80"/>
            <w:vAlign w:val="center"/>
            <w:hideMark/>
          </w:tcPr>
          <w:p w14:paraId="3409342A" w14:textId="77777777" w:rsidR="00047D74" w:rsidRPr="005A2F16" w:rsidRDefault="00047D74" w:rsidP="00205EFE">
            <w:r w:rsidRPr="005A2F16">
              <w:t>- Non-compliance with Indian contract law.</w:t>
            </w:r>
          </w:p>
          <w:p w14:paraId="6022FA69" w14:textId="77777777" w:rsidR="00047D74" w:rsidRPr="005A2F16" w:rsidRDefault="00047D74" w:rsidP="00205EFE">
            <w:r w:rsidRPr="005A2F16">
              <w:t>- Differences in intellectual property (IP) laws between Russia and India.</w:t>
            </w:r>
          </w:p>
          <w:p w14:paraId="38ED6F1A" w14:textId="77777777" w:rsidR="00047D74" w:rsidRPr="005A2F16" w:rsidRDefault="00047D74" w:rsidP="00205EFE">
            <w:r w:rsidRPr="005A2F16">
              <w:t>- Non-compliance with Indian labour laws.</w:t>
            </w:r>
          </w:p>
        </w:tc>
        <w:tc>
          <w:tcPr>
            <w:tcW w:w="0" w:type="auto"/>
            <w:tcBorders>
              <w:top w:val="single" w:sz="4" w:space="0" w:color="auto"/>
              <w:left w:val="single" w:sz="4" w:space="0" w:color="auto"/>
            </w:tcBorders>
            <w:shd w:val="clear" w:color="auto" w:fill="1F3864" w:themeFill="accent1" w:themeFillShade="80"/>
            <w:vAlign w:val="center"/>
            <w:hideMark/>
          </w:tcPr>
          <w:p w14:paraId="07CC13F0" w14:textId="77777777" w:rsidR="00047D74" w:rsidRPr="005A2F16" w:rsidRDefault="00047D74" w:rsidP="00205EFE">
            <w:r w:rsidRPr="005A2F16">
              <w:t>- Review the agreement with an Indian legal expert to ensure compliance with the Indian Contract Act, 1872.</w:t>
            </w:r>
          </w:p>
          <w:p w14:paraId="3B258959" w14:textId="77777777" w:rsidR="00047D74" w:rsidRPr="005A2F16" w:rsidRDefault="00047D74" w:rsidP="00205EFE">
            <w:r w:rsidRPr="005A2F16">
              <w:t>- Align IP clauses with the Indian Copyright Act, 1957, and the Patents Act, 1970. Ensure IP transfer clauses are enforceable under Indian law.</w:t>
            </w:r>
          </w:p>
        </w:tc>
      </w:tr>
      <w:tr w:rsidR="00047D74" w:rsidRPr="005A2F16" w14:paraId="7D51A4C5" w14:textId="77777777" w:rsidTr="00047D74">
        <w:trPr>
          <w:trHeight w:val="1168"/>
        </w:trPr>
        <w:tc>
          <w:tcPr>
            <w:tcW w:w="0" w:type="auto"/>
            <w:vMerge/>
            <w:tcBorders>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322C837D" w14:textId="77777777" w:rsidR="00047D74" w:rsidRPr="005A2F16" w:rsidRDefault="00047D74" w:rsidP="00205EFE"/>
        </w:tc>
        <w:tc>
          <w:tcPr>
            <w:tcW w:w="0" w:type="auto"/>
            <w:vMerge/>
            <w:tcBorders>
              <w:left w:val="single" w:sz="4" w:space="0" w:color="auto"/>
              <w:bottom w:val="single" w:sz="4" w:space="0" w:color="auto"/>
              <w:right w:val="single" w:sz="4" w:space="0" w:color="auto"/>
            </w:tcBorders>
            <w:shd w:val="clear" w:color="auto" w:fill="1F3864" w:themeFill="accent1" w:themeFillShade="80"/>
            <w:vAlign w:val="center"/>
            <w:hideMark/>
          </w:tcPr>
          <w:p w14:paraId="70BD1D69" w14:textId="77777777" w:rsidR="00047D74" w:rsidRPr="005A2F16" w:rsidRDefault="00047D74" w:rsidP="00205EFE"/>
        </w:tc>
        <w:tc>
          <w:tcPr>
            <w:tcW w:w="0" w:type="auto"/>
            <w:tcBorders>
              <w:left w:val="single" w:sz="4" w:space="0" w:color="auto"/>
              <w:bottom w:val="single" w:sz="4" w:space="0" w:color="auto"/>
            </w:tcBorders>
            <w:shd w:val="clear" w:color="auto" w:fill="1F3864" w:themeFill="accent1" w:themeFillShade="80"/>
            <w:vAlign w:val="center"/>
            <w:hideMark/>
          </w:tcPr>
          <w:p w14:paraId="221E3E88" w14:textId="77777777" w:rsidR="00047D74" w:rsidRPr="005A2F16" w:rsidRDefault="00047D74" w:rsidP="00205EFE">
            <w:r w:rsidRPr="005A2F16">
              <w:t>- Ensure terms related to employment, taxation, and benefits comply with the Indian labour code, including the Shops and Establishments Act and the Payment of Wages Act.</w:t>
            </w:r>
          </w:p>
        </w:tc>
      </w:tr>
      <w:tr w:rsidR="00047D74" w:rsidRPr="005A2F16" w14:paraId="0A008FB3" w14:textId="77777777" w:rsidTr="00047D74">
        <w:trPr>
          <w:trHeight w:val="1168"/>
        </w:trPr>
        <w:tc>
          <w:tcPr>
            <w:tcW w:w="0" w:type="auto"/>
            <w:tcBorders>
              <w:top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402B10B4" w14:textId="77777777" w:rsidR="00047D74" w:rsidRPr="005A2F16" w:rsidRDefault="00047D74" w:rsidP="00205EFE">
            <w:r w:rsidRPr="005A2F16">
              <w:rPr>
                <w:b/>
                <w:bCs/>
              </w:rPr>
              <w:t>2. Taxation</w:t>
            </w:r>
          </w:p>
        </w:tc>
        <w:tc>
          <w:tcPr>
            <w:tcW w:w="0" w:type="auto"/>
            <w:tcBorders>
              <w:top w:val="single" w:sz="4" w:space="0" w:color="auto"/>
              <w:left w:val="single" w:sz="4" w:space="0" w:color="auto"/>
              <w:right w:val="single" w:sz="4" w:space="0" w:color="auto"/>
            </w:tcBorders>
            <w:shd w:val="clear" w:color="auto" w:fill="1F3864" w:themeFill="accent1" w:themeFillShade="80"/>
            <w:vAlign w:val="center"/>
            <w:hideMark/>
          </w:tcPr>
          <w:p w14:paraId="4F2C9C09" w14:textId="77777777" w:rsidR="00047D74" w:rsidRPr="005A2F16" w:rsidRDefault="00047D74" w:rsidP="00205EFE">
            <w:r w:rsidRPr="005A2F16">
              <w:t>- Mismatch in tax obligations under Indian tax laws (e.g., TDS, GST).</w:t>
            </w:r>
          </w:p>
        </w:tc>
        <w:tc>
          <w:tcPr>
            <w:tcW w:w="0" w:type="auto"/>
            <w:tcBorders>
              <w:top w:val="single" w:sz="4" w:space="0" w:color="auto"/>
              <w:left w:val="single" w:sz="4" w:space="0" w:color="auto"/>
            </w:tcBorders>
            <w:shd w:val="clear" w:color="auto" w:fill="1F3864" w:themeFill="accent1" w:themeFillShade="80"/>
            <w:vAlign w:val="center"/>
            <w:hideMark/>
          </w:tcPr>
          <w:p w14:paraId="7D6AEC84" w14:textId="77777777" w:rsidR="00047D74" w:rsidRPr="005A2F16" w:rsidRDefault="00047D74" w:rsidP="00205EFE">
            <w:r w:rsidRPr="005A2F16">
              <w:t>- Consult a tax advisor to ensure proper application of TDS (Tax Deducted at Source) and GST (Goods and Services Tax) as per Indian tax laws.</w:t>
            </w:r>
          </w:p>
        </w:tc>
      </w:tr>
      <w:tr w:rsidR="00047D74" w:rsidRPr="005A2F16" w14:paraId="58FA2A62" w14:textId="77777777" w:rsidTr="00047D74">
        <w:trPr>
          <w:trHeight w:val="913"/>
        </w:trPr>
        <w:tc>
          <w:tcPr>
            <w:tcW w:w="0" w:type="auto"/>
            <w:tcBorders>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5295705C" w14:textId="77777777" w:rsidR="00047D74" w:rsidRPr="005A2F16" w:rsidRDefault="00047D74" w:rsidP="00205EFE"/>
        </w:tc>
        <w:tc>
          <w:tcPr>
            <w:tcW w:w="0" w:type="auto"/>
            <w:tcBorders>
              <w:left w:val="single" w:sz="4" w:space="0" w:color="auto"/>
              <w:bottom w:val="single" w:sz="4" w:space="0" w:color="auto"/>
              <w:right w:val="single" w:sz="4" w:space="0" w:color="auto"/>
            </w:tcBorders>
            <w:shd w:val="clear" w:color="auto" w:fill="1F3864" w:themeFill="accent1" w:themeFillShade="80"/>
            <w:vAlign w:val="center"/>
            <w:hideMark/>
          </w:tcPr>
          <w:p w14:paraId="4A046B50" w14:textId="77777777" w:rsidR="00047D74" w:rsidRPr="005A2F16" w:rsidRDefault="00047D74" w:rsidP="00205EFE">
            <w:r w:rsidRPr="005A2F16">
              <w:t>Double taxation due to cross-border payments.</w:t>
            </w:r>
          </w:p>
        </w:tc>
        <w:tc>
          <w:tcPr>
            <w:tcW w:w="0" w:type="auto"/>
            <w:tcBorders>
              <w:left w:val="single" w:sz="4" w:space="0" w:color="auto"/>
              <w:bottom w:val="single" w:sz="4" w:space="0" w:color="auto"/>
            </w:tcBorders>
            <w:shd w:val="clear" w:color="auto" w:fill="1F3864" w:themeFill="accent1" w:themeFillShade="80"/>
            <w:vAlign w:val="center"/>
            <w:hideMark/>
          </w:tcPr>
          <w:p w14:paraId="2695B980" w14:textId="77777777" w:rsidR="00047D74" w:rsidRPr="005A2F16" w:rsidRDefault="00047D74" w:rsidP="00205EFE">
            <w:r w:rsidRPr="005A2F16">
              <w:t>- Include provisions for tax residency certificates and refer to the Double Taxation Avoidance Agreement (DTAA) between India and Russia.</w:t>
            </w:r>
          </w:p>
        </w:tc>
      </w:tr>
      <w:tr w:rsidR="00047D74" w:rsidRPr="005A2F16" w14:paraId="3D27632A" w14:textId="77777777" w:rsidTr="00047D74">
        <w:trPr>
          <w:trHeight w:val="1434"/>
        </w:trPr>
        <w:tc>
          <w:tcPr>
            <w:tcW w:w="0" w:type="auto"/>
            <w:tcBorders>
              <w:top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1038C500" w14:textId="77777777" w:rsidR="00047D74" w:rsidRPr="005A2F16" w:rsidRDefault="00047D74" w:rsidP="00205EFE">
            <w:r w:rsidRPr="005A2F16">
              <w:rPr>
                <w:b/>
                <w:bCs/>
              </w:rPr>
              <w:t>3. Dispute Resolution</w:t>
            </w:r>
          </w:p>
        </w:tc>
        <w:tc>
          <w:tcPr>
            <w:tcW w:w="0" w:type="auto"/>
            <w:tcBorders>
              <w:top w:val="single" w:sz="4" w:space="0" w:color="auto"/>
              <w:left w:val="single" w:sz="4" w:space="0" w:color="auto"/>
              <w:right w:val="single" w:sz="4" w:space="0" w:color="auto"/>
            </w:tcBorders>
            <w:shd w:val="clear" w:color="auto" w:fill="1F3864" w:themeFill="accent1" w:themeFillShade="80"/>
            <w:vAlign w:val="center"/>
            <w:hideMark/>
          </w:tcPr>
          <w:p w14:paraId="6CEA4AD8" w14:textId="77777777" w:rsidR="00047D74" w:rsidRDefault="00047D74" w:rsidP="00205EFE">
            <w:r w:rsidRPr="005A2F16">
              <w:t xml:space="preserve">- </w:t>
            </w:r>
          </w:p>
          <w:p w14:paraId="734622FF" w14:textId="77777777" w:rsidR="00047D74" w:rsidRPr="005A2F16" w:rsidRDefault="00047D74" w:rsidP="00205EFE">
            <w:r w:rsidRPr="005A2F16">
              <w:t>Enforceability of arbitration clauses under Indian law</w:t>
            </w:r>
          </w:p>
        </w:tc>
        <w:tc>
          <w:tcPr>
            <w:tcW w:w="0" w:type="auto"/>
            <w:tcBorders>
              <w:top w:val="single" w:sz="4" w:space="0" w:color="auto"/>
              <w:left w:val="single" w:sz="4" w:space="0" w:color="auto"/>
            </w:tcBorders>
            <w:shd w:val="clear" w:color="auto" w:fill="1F3864" w:themeFill="accent1" w:themeFillShade="80"/>
            <w:vAlign w:val="center"/>
            <w:hideMark/>
          </w:tcPr>
          <w:p w14:paraId="64B98B71" w14:textId="77777777" w:rsidR="00047D74" w:rsidRPr="005A2F16" w:rsidRDefault="00047D74" w:rsidP="00205EFE">
            <w:r w:rsidRPr="005A2F16">
              <w:t>- Ensure arbitration clauses comply with the Arbitration and Conciliation Act, 1996. Specify New Delhi as the arbitration venue and use institutional arbitration (e.g., ICC or DIAC) for enforceability.</w:t>
            </w:r>
          </w:p>
        </w:tc>
      </w:tr>
      <w:tr w:rsidR="00047D74" w:rsidRPr="005A2F16" w14:paraId="1684F628" w14:textId="77777777" w:rsidTr="00047D74">
        <w:trPr>
          <w:trHeight w:val="901"/>
        </w:trPr>
        <w:tc>
          <w:tcPr>
            <w:tcW w:w="0" w:type="auto"/>
            <w:tcBorders>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2B14186D" w14:textId="77777777" w:rsidR="00047D74" w:rsidRPr="005A2F16" w:rsidRDefault="00047D74" w:rsidP="00205EFE"/>
        </w:tc>
        <w:tc>
          <w:tcPr>
            <w:tcW w:w="0" w:type="auto"/>
            <w:tcBorders>
              <w:left w:val="single" w:sz="4" w:space="0" w:color="auto"/>
              <w:bottom w:val="single" w:sz="4" w:space="0" w:color="auto"/>
              <w:right w:val="single" w:sz="4" w:space="0" w:color="auto"/>
            </w:tcBorders>
            <w:shd w:val="clear" w:color="auto" w:fill="1F3864" w:themeFill="accent1" w:themeFillShade="80"/>
            <w:vAlign w:val="center"/>
            <w:hideMark/>
          </w:tcPr>
          <w:p w14:paraId="3CF9E317" w14:textId="77777777" w:rsidR="00047D74" w:rsidRPr="005A2F16" w:rsidRDefault="00047D74" w:rsidP="00205EFE">
            <w:r w:rsidRPr="005A2F16">
              <w:t>Jurisdictional issues in case of cross-border disputes.</w:t>
            </w:r>
          </w:p>
        </w:tc>
        <w:tc>
          <w:tcPr>
            <w:tcW w:w="0" w:type="auto"/>
            <w:tcBorders>
              <w:left w:val="single" w:sz="4" w:space="0" w:color="auto"/>
              <w:bottom w:val="single" w:sz="4" w:space="0" w:color="auto"/>
            </w:tcBorders>
            <w:shd w:val="clear" w:color="auto" w:fill="1F3864" w:themeFill="accent1" w:themeFillShade="80"/>
            <w:vAlign w:val="center"/>
            <w:hideMark/>
          </w:tcPr>
          <w:p w14:paraId="5989CCDC" w14:textId="77777777" w:rsidR="00047D74" w:rsidRPr="005A2F16" w:rsidRDefault="00047D74" w:rsidP="00205EFE">
            <w:r w:rsidRPr="005A2F16">
              <w:t>- Include a clear jurisdiction clause specifying Indian courts as the governing authority for disputes.</w:t>
            </w:r>
          </w:p>
        </w:tc>
      </w:tr>
      <w:tr w:rsidR="00047D74" w:rsidRPr="005A2F16" w14:paraId="46C21939" w14:textId="77777777" w:rsidTr="00047D74">
        <w:trPr>
          <w:trHeight w:val="1168"/>
        </w:trPr>
        <w:tc>
          <w:tcPr>
            <w:tcW w:w="0" w:type="auto"/>
            <w:tcBorders>
              <w:top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05E41508" w14:textId="77777777" w:rsidR="00047D74" w:rsidRPr="005A2F16" w:rsidRDefault="00047D74" w:rsidP="00205EFE">
            <w:r w:rsidRPr="005A2F16">
              <w:rPr>
                <w:b/>
                <w:bCs/>
              </w:rPr>
              <w:t>4. Data Privacy</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1A0785BC" w14:textId="77777777" w:rsidR="00047D74" w:rsidRPr="005A2F16" w:rsidRDefault="00047D74" w:rsidP="00205EFE">
            <w:r w:rsidRPr="005A2F16">
              <w:t>- Non-compliance with Indian data protection laws (e.g., IT Act, 2000, and DPDP Act).</w:t>
            </w:r>
          </w:p>
        </w:tc>
        <w:tc>
          <w:tcPr>
            <w:tcW w:w="0" w:type="auto"/>
            <w:tcBorders>
              <w:top w:val="single" w:sz="4" w:space="0" w:color="auto"/>
              <w:left w:val="single" w:sz="4" w:space="0" w:color="auto"/>
              <w:bottom w:val="single" w:sz="4" w:space="0" w:color="auto"/>
            </w:tcBorders>
            <w:shd w:val="clear" w:color="auto" w:fill="1F3864" w:themeFill="accent1" w:themeFillShade="80"/>
            <w:vAlign w:val="center"/>
            <w:hideMark/>
          </w:tcPr>
          <w:p w14:paraId="2DA24F1F" w14:textId="77777777" w:rsidR="00047D74" w:rsidRPr="005A2F16" w:rsidRDefault="00047D74" w:rsidP="00205EFE">
            <w:r w:rsidRPr="005A2F16">
              <w:t>- Update data privacy clauses to comply with the Digital Personal Data Protection Act (DPDP Act), 2023, and the Information Technology Act, 2000. Ensure consent mechanisms and data storage comply with Indian laws.</w:t>
            </w:r>
          </w:p>
        </w:tc>
      </w:tr>
      <w:tr w:rsidR="00047D74" w:rsidRPr="005A2F16" w14:paraId="2EB05D6B" w14:textId="77777777" w:rsidTr="00047D74">
        <w:trPr>
          <w:trHeight w:val="1434"/>
        </w:trPr>
        <w:tc>
          <w:tcPr>
            <w:tcW w:w="0" w:type="auto"/>
            <w:tcBorders>
              <w:top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1F4E8C0E" w14:textId="77777777" w:rsidR="00047D74" w:rsidRPr="005A2F16" w:rsidRDefault="00047D74" w:rsidP="00205EFE">
            <w:r w:rsidRPr="005A2F16">
              <w:rPr>
                <w:b/>
                <w:bCs/>
              </w:rPr>
              <w:t>5. Currency and Payments</w:t>
            </w:r>
          </w:p>
        </w:tc>
        <w:tc>
          <w:tcPr>
            <w:tcW w:w="0" w:type="auto"/>
            <w:tcBorders>
              <w:top w:val="single" w:sz="4" w:space="0" w:color="auto"/>
              <w:left w:val="single" w:sz="4" w:space="0" w:color="auto"/>
              <w:right w:val="single" w:sz="4" w:space="0" w:color="auto"/>
            </w:tcBorders>
            <w:shd w:val="clear" w:color="auto" w:fill="1F3864" w:themeFill="accent1" w:themeFillShade="80"/>
            <w:vAlign w:val="center"/>
            <w:hideMark/>
          </w:tcPr>
          <w:p w14:paraId="235FC197" w14:textId="77777777" w:rsidR="00047D74" w:rsidRPr="005A2F16" w:rsidRDefault="00047D74" w:rsidP="00205EFE">
            <w:r w:rsidRPr="005A2F16">
              <w:t>- Restrictions on foreign currency transactions under FEMA (Foreign Exchange Management Act).</w:t>
            </w:r>
          </w:p>
        </w:tc>
        <w:tc>
          <w:tcPr>
            <w:tcW w:w="0" w:type="auto"/>
            <w:tcBorders>
              <w:top w:val="single" w:sz="4" w:space="0" w:color="auto"/>
              <w:left w:val="single" w:sz="4" w:space="0" w:color="auto"/>
            </w:tcBorders>
            <w:shd w:val="clear" w:color="auto" w:fill="1F3864" w:themeFill="accent1" w:themeFillShade="80"/>
            <w:vAlign w:val="center"/>
            <w:hideMark/>
          </w:tcPr>
          <w:p w14:paraId="2B9282CB" w14:textId="77777777" w:rsidR="00047D74" w:rsidRPr="005A2F16" w:rsidRDefault="00047D74" w:rsidP="00205EFE">
            <w:r w:rsidRPr="005A2F16">
              <w:t>- Ensure payment terms comply with FEMA regulations. Use authorized banking channels for cross-border payments and include clauses for currency conversion.</w:t>
            </w:r>
          </w:p>
        </w:tc>
      </w:tr>
    </w:tbl>
    <w:p w14:paraId="3EFCAA23" w14:textId="77777777" w:rsidR="00047D74" w:rsidRPr="005A2F16" w:rsidRDefault="00047D74" w:rsidP="00047D74">
      <w:pPr>
        <w:rPr>
          <w:b/>
          <w:bCs/>
          <w:color w:val="C45911" w:themeColor="accent2" w:themeShade="BF"/>
          <w:sz w:val="32"/>
          <w:szCs w:val="32"/>
        </w:rPr>
      </w:pPr>
      <w:r w:rsidRPr="005A2F16">
        <w:rPr>
          <w:b/>
          <w:bCs/>
          <w:color w:val="C45911" w:themeColor="accent2" w:themeShade="BF"/>
          <w:sz w:val="32"/>
          <w:szCs w:val="32"/>
        </w:rPr>
        <w:t>Risk Map for Adapting the Agreement to Indian Legislation</w:t>
      </w:r>
    </w:p>
    <w:p w14:paraId="7E17D980" w14:textId="77777777" w:rsidR="00047D74" w:rsidRPr="005A2F16" w:rsidRDefault="00047D74" w:rsidP="00047D74"/>
    <w:tbl>
      <w:tblPr>
        <w:tblpPr w:leftFromText="180" w:rightFromText="180" w:horzAnchor="margin" w:tblpXSpec="center" w:tblpY="-210"/>
        <w:tblW w:w="9958" w:type="dxa"/>
        <w:tblCellMar>
          <w:top w:w="15" w:type="dxa"/>
          <w:left w:w="15" w:type="dxa"/>
          <w:bottom w:w="15" w:type="dxa"/>
          <w:right w:w="15" w:type="dxa"/>
        </w:tblCellMar>
        <w:tblLook w:val="04A0" w:firstRow="1" w:lastRow="0" w:firstColumn="1" w:lastColumn="0" w:noHBand="0" w:noVBand="1"/>
      </w:tblPr>
      <w:tblGrid>
        <w:gridCol w:w="1811"/>
        <w:gridCol w:w="2931"/>
        <w:gridCol w:w="5216"/>
      </w:tblGrid>
      <w:tr w:rsidR="00047D74" w:rsidRPr="005A2F16" w14:paraId="36B3F755" w14:textId="77777777" w:rsidTr="00047D74">
        <w:trPr>
          <w:trHeight w:val="1488"/>
        </w:trPr>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74000D11" w14:textId="77777777" w:rsidR="00047D74" w:rsidRPr="005A2F16" w:rsidRDefault="00047D74" w:rsidP="00205EFE">
            <w:r w:rsidRPr="005A2F16">
              <w:rPr>
                <w:b/>
                <w:bCs/>
              </w:rPr>
              <w:lastRenderedPageBreak/>
              <w:t>6. Termination and Penalties</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410231E6" w14:textId="77777777" w:rsidR="00047D74" w:rsidRPr="005A2F16" w:rsidRDefault="00047D74" w:rsidP="00205EFE">
            <w:r w:rsidRPr="005A2F16">
              <w:t>- Unenforceability of termination clauses under Indian law.</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0C410D9D" w14:textId="77777777" w:rsidR="00047D74" w:rsidRPr="005A2F16" w:rsidRDefault="00047D74" w:rsidP="00205EFE">
            <w:r w:rsidRPr="005A2F16">
              <w:t>- Review termination clauses to ensure they comply with Indian contract law. Avoid penalties that may be deemed excessive or unconscionable.</w:t>
            </w:r>
          </w:p>
        </w:tc>
      </w:tr>
      <w:tr w:rsidR="00047D74" w:rsidRPr="005A2F16" w14:paraId="7C22B976" w14:textId="77777777" w:rsidTr="00047D74">
        <w:trPr>
          <w:trHeight w:val="1148"/>
        </w:trPr>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312453AB" w14:textId="77777777" w:rsidR="00047D74" w:rsidRPr="005A2F16" w:rsidRDefault="00047D74" w:rsidP="00205EFE">
            <w:r w:rsidRPr="005A2F16">
              <w:rPr>
                <w:b/>
                <w:bCs/>
              </w:rPr>
              <w:t>7. Intellectual Property</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59AA8E27" w14:textId="77777777" w:rsidR="00047D74" w:rsidRPr="005A2F16" w:rsidRDefault="00047D74" w:rsidP="00205EFE">
            <w:r w:rsidRPr="005A2F16">
              <w:t>- Disputes over IP ownership or licensing.</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7F1C4F7F" w14:textId="77777777" w:rsidR="00047D74" w:rsidRPr="005A2F16" w:rsidRDefault="00047D74" w:rsidP="00205EFE">
            <w:r w:rsidRPr="005A2F16">
              <w:t>- Clearly define IP ownership, licensing, and usage rights in the agreement. Ensure compliance with Indian IP laws.</w:t>
            </w:r>
          </w:p>
        </w:tc>
      </w:tr>
      <w:tr w:rsidR="00047D74" w:rsidRPr="005A2F16" w14:paraId="7F9943CB" w14:textId="77777777" w:rsidTr="00047D74">
        <w:trPr>
          <w:trHeight w:val="1163"/>
        </w:trPr>
        <w:tc>
          <w:tcPr>
            <w:tcW w:w="0" w:type="auto"/>
            <w:tcBorders>
              <w:top w:val="single" w:sz="4" w:space="0" w:color="auto"/>
              <w:left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5B31EDA9" w14:textId="77777777" w:rsidR="00047D74" w:rsidRPr="005A2F16" w:rsidRDefault="00047D74" w:rsidP="00205EFE">
            <w:r w:rsidRPr="005A2F16">
              <w:rPr>
                <w:b/>
                <w:bCs/>
              </w:rPr>
              <w:t>8. Cultural and Operational Differences</w:t>
            </w:r>
          </w:p>
        </w:tc>
        <w:tc>
          <w:tcPr>
            <w:tcW w:w="0" w:type="auto"/>
            <w:tcBorders>
              <w:top w:val="single" w:sz="4" w:space="0" w:color="auto"/>
              <w:left w:val="single" w:sz="4" w:space="0" w:color="auto"/>
              <w:right w:val="single" w:sz="4" w:space="0" w:color="auto"/>
            </w:tcBorders>
            <w:shd w:val="clear" w:color="auto" w:fill="1F3864" w:themeFill="accent1" w:themeFillShade="80"/>
            <w:vAlign w:val="center"/>
            <w:hideMark/>
          </w:tcPr>
          <w:p w14:paraId="257747BC" w14:textId="77777777" w:rsidR="00047D74" w:rsidRPr="005A2F16" w:rsidRDefault="00047D74" w:rsidP="00205EFE">
            <w:r w:rsidRPr="005A2F16">
              <w:t>- Miscommunication due to cultural differences.</w:t>
            </w:r>
          </w:p>
        </w:tc>
        <w:tc>
          <w:tcPr>
            <w:tcW w:w="0" w:type="auto"/>
            <w:tcBorders>
              <w:top w:val="single" w:sz="4" w:space="0" w:color="auto"/>
              <w:left w:val="single" w:sz="4" w:space="0" w:color="auto"/>
              <w:right w:val="single" w:sz="4" w:space="0" w:color="auto"/>
            </w:tcBorders>
            <w:shd w:val="clear" w:color="auto" w:fill="1F3864" w:themeFill="accent1" w:themeFillShade="80"/>
            <w:vAlign w:val="center"/>
            <w:hideMark/>
          </w:tcPr>
          <w:p w14:paraId="6C07BAE1" w14:textId="77777777" w:rsidR="00047D74" w:rsidRPr="005A2F16" w:rsidRDefault="00047D74" w:rsidP="00205EFE">
            <w:r w:rsidRPr="005A2F16">
              <w:t>- Include clear definitions and explanations of terms to avoid ambiguity. Use bilingual agreements (English and Russian) if necessary.</w:t>
            </w:r>
          </w:p>
        </w:tc>
      </w:tr>
      <w:tr w:rsidR="00047D74" w:rsidRPr="005A2F16" w14:paraId="19E7614A" w14:textId="77777777" w:rsidTr="00047D74">
        <w:trPr>
          <w:trHeight w:val="1148"/>
        </w:trPr>
        <w:tc>
          <w:tcPr>
            <w:tcW w:w="0" w:type="auto"/>
            <w:tcBorders>
              <w:left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35CABEE7" w14:textId="77777777" w:rsidR="00047D74" w:rsidRPr="005A2F16" w:rsidRDefault="00047D74" w:rsidP="00205EFE"/>
        </w:tc>
        <w:tc>
          <w:tcPr>
            <w:tcW w:w="0" w:type="auto"/>
            <w:tcBorders>
              <w:left w:val="single" w:sz="4" w:space="0" w:color="auto"/>
              <w:bottom w:val="single" w:sz="4" w:space="0" w:color="auto"/>
              <w:right w:val="single" w:sz="4" w:space="0" w:color="auto"/>
            </w:tcBorders>
            <w:shd w:val="clear" w:color="auto" w:fill="1F3864" w:themeFill="accent1" w:themeFillShade="80"/>
            <w:vAlign w:val="center"/>
            <w:hideMark/>
          </w:tcPr>
          <w:p w14:paraId="3E0A7D02" w14:textId="77777777" w:rsidR="00047D74" w:rsidRPr="005A2F16" w:rsidRDefault="00047D74" w:rsidP="00205EFE">
            <w:r w:rsidRPr="005A2F16">
              <w:t>- Operational challenges in cross-border collaboration.</w:t>
            </w:r>
          </w:p>
        </w:tc>
        <w:tc>
          <w:tcPr>
            <w:tcW w:w="0" w:type="auto"/>
            <w:tcBorders>
              <w:left w:val="single" w:sz="4" w:space="0" w:color="auto"/>
              <w:bottom w:val="single" w:sz="4" w:space="0" w:color="auto"/>
              <w:right w:val="single" w:sz="4" w:space="0" w:color="auto"/>
            </w:tcBorders>
            <w:shd w:val="clear" w:color="auto" w:fill="1F3864" w:themeFill="accent1" w:themeFillShade="80"/>
            <w:vAlign w:val="center"/>
            <w:hideMark/>
          </w:tcPr>
          <w:p w14:paraId="336A8E71" w14:textId="77777777" w:rsidR="00047D74" w:rsidRPr="005A2F16" w:rsidRDefault="00047D74" w:rsidP="00205EFE">
            <w:r w:rsidRPr="005A2F16">
              <w:t>- Establish clear communication protocols and designate local representatives for smoother operations.</w:t>
            </w:r>
          </w:p>
        </w:tc>
      </w:tr>
      <w:tr w:rsidR="00047D74" w:rsidRPr="005A2F16" w14:paraId="60016EA5" w14:textId="77777777" w:rsidTr="00047D74">
        <w:trPr>
          <w:trHeight w:val="1488"/>
        </w:trPr>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5C8C1E5C" w14:textId="77777777" w:rsidR="00047D74" w:rsidRPr="005A2F16" w:rsidRDefault="00047D74" w:rsidP="00205EFE">
            <w:r w:rsidRPr="005A2F16">
              <w:rPr>
                <w:b/>
                <w:bCs/>
              </w:rPr>
              <w:t>9. Regulatory Approvals</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06759E65" w14:textId="77777777" w:rsidR="00047D74" w:rsidRPr="005A2F16" w:rsidRDefault="00047D74" w:rsidP="00205EFE">
            <w:r w:rsidRPr="005A2F16">
              <w:t>- Lack of necessary approvals for foreign entities operating in India.</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694A3C8A" w14:textId="77777777" w:rsidR="00047D74" w:rsidRPr="005A2F16" w:rsidRDefault="00047D74" w:rsidP="00205EFE">
            <w:r w:rsidRPr="005A2F16">
              <w:t>- Ensure the Contractor obtains necessary registrations (e.g., GST registration, PAN, and TAN) and complies with Indian corporate laws for foreign entities.</w:t>
            </w:r>
          </w:p>
        </w:tc>
      </w:tr>
      <w:tr w:rsidR="00047D74" w:rsidRPr="005A2F16" w14:paraId="157E8B59" w14:textId="77777777" w:rsidTr="00047D74">
        <w:trPr>
          <w:trHeight w:val="1812"/>
        </w:trPr>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tcMar>
              <w:top w:w="15" w:type="dxa"/>
              <w:left w:w="0" w:type="dxa"/>
              <w:bottom w:w="15" w:type="dxa"/>
              <w:right w:w="15" w:type="dxa"/>
            </w:tcMar>
            <w:vAlign w:val="center"/>
            <w:hideMark/>
          </w:tcPr>
          <w:p w14:paraId="31FE9B17" w14:textId="77777777" w:rsidR="00047D74" w:rsidRPr="005A2F16" w:rsidRDefault="00047D74" w:rsidP="00205EFE">
            <w:r w:rsidRPr="005A2F16">
              <w:rPr>
                <w:b/>
                <w:bCs/>
              </w:rPr>
              <w:t>10. Force Majeure</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0F909175" w14:textId="77777777" w:rsidR="00047D74" w:rsidRPr="005A2F16" w:rsidRDefault="00047D74" w:rsidP="00205EFE">
            <w:r w:rsidRPr="005A2F16">
              <w:t>- Unclear force majeure clauses under Indian law.</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hideMark/>
          </w:tcPr>
          <w:p w14:paraId="3828EFA6" w14:textId="77777777" w:rsidR="00047D74" w:rsidRPr="005A2F16" w:rsidRDefault="00047D74" w:rsidP="00205EFE">
            <w:r w:rsidRPr="005A2F16">
              <w:t>- Define force majeure events explicitly and ensure the clause complies with Indian contract law. Include pandemic, natural disasters, and government actions as force majeure events.</w:t>
            </w:r>
          </w:p>
        </w:tc>
      </w:tr>
    </w:tbl>
    <w:p w14:paraId="32B49938" w14:textId="77777777" w:rsidR="00047D74" w:rsidRPr="005A2F16" w:rsidRDefault="00047D74" w:rsidP="00047D74"/>
    <w:p w14:paraId="5566C28C" w14:textId="77777777" w:rsidR="00047D74" w:rsidRPr="005A2F16" w:rsidRDefault="00047D74" w:rsidP="00047D74">
      <w:pPr>
        <w:rPr>
          <w:lang w:val="en-US"/>
        </w:rPr>
      </w:pPr>
    </w:p>
    <w:p w14:paraId="0F2A98BB" w14:textId="77777777" w:rsidR="00047D74" w:rsidRPr="00047D74" w:rsidRDefault="00047D74">
      <w:pPr>
        <w:rPr>
          <w:lang w:val="en-US"/>
        </w:rPr>
      </w:pPr>
    </w:p>
    <w:sectPr w:rsidR="00047D74" w:rsidRPr="000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74"/>
    <w:rsid w:val="00047D74"/>
    <w:rsid w:val="00E2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8F79"/>
  <w15:chartTrackingRefBased/>
  <w15:docId w15:val="{F29DA8BA-71E4-489B-ABE3-E486E654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74"/>
  </w:style>
  <w:style w:type="paragraph" w:styleId="Heading1">
    <w:name w:val="heading 1"/>
    <w:basedOn w:val="Normal"/>
    <w:next w:val="Normal"/>
    <w:link w:val="Heading1Char"/>
    <w:uiPriority w:val="9"/>
    <w:qFormat/>
    <w:rsid w:val="00047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D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D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D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D74"/>
    <w:rPr>
      <w:rFonts w:eastAsiaTheme="majorEastAsia" w:cstheme="majorBidi"/>
      <w:color w:val="272727" w:themeColor="text1" w:themeTint="D8"/>
    </w:rPr>
  </w:style>
  <w:style w:type="paragraph" w:styleId="Title">
    <w:name w:val="Title"/>
    <w:basedOn w:val="Normal"/>
    <w:next w:val="Normal"/>
    <w:link w:val="TitleChar"/>
    <w:uiPriority w:val="10"/>
    <w:qFormat/>
    <w:rsid w:val="0004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D74"/>
    <w:pPr>
      <w:spacing w:before="160"/>
      <w:jc w:val="center"/>
    </w:pPr>
    <w:rPr>
      <w:i/>
      <w:iCs/>
      <w:color w:val="404040" w:themeColor="text1" w:themeTint="BF"/>
    </w:rPr>
  </w:style>
  <w:style w:type="character" w:customStyle="1" w:styleId="QuoteChar">
    <w:name w:val="Quote Char"/>
    <w:basedOn w:val="DefaultParagraphFont"/>
    <w:link w:val="Quote"/>
    <w:uiPriority w:val="29"/>
    <w:rsid w:val="00047D74"/>
    <w:rPr>
      <w:i/>
      <w:iCs/>
      <w:color w:val="404040" w:themeColor="text1" w:themeTint="BF"/>
    </w:rPr>
  </w:style>
  <w:style w:type="paragraph" w:styleId="ListParagraph">
    <w:name w:val="List Paragraph"/>
    <w:basedOn w:val="Normal"/>
    <w:uiPriority w:val="34"/>
    <w:qFormat/>
    <w:rsid w:val="00047D74"/>
    <w:pPr>
      <w:ind w:left="720"/>
      <w:contextualSpacing/>
    </w:pPr>
  </w:style>
  <w:style w:type="character" w:styleId="IntenseEmphasis">
    <w:name w:val="Intense Emphasis"/>
    <w:basedOn w:val="DefaultParagraphFont"/>
    <w:uiPriority w:val="21"/>
    <w:qFormat/>
    <w:rsid w:val="00047D74"/>
    <w:rPr>
      <w:i/>
      <w:iCs/>
      <w:color w:val="2F5496" w:themeColor="accent1" w:themeShade="BF"/>
    </w:rPr>
  </w:style>
  <w:style w:type="paragraph" w:styleId="IntenseQuote">
    <w:name w:val="Intense Quote"/>
    <w:basedOn w:val="Normal"/>
    <w:next w:val="Normal"/>
    <w:link w:val="IntenseQuoteChar"/>
    <w:uiPriority w:val="30"/>
    <w:qFormat/>
    <w:rsid w:val="00047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D74"/>
    <w:rPr>
      <w:i/>
      <w:iCs/>
      <w:color w:val="2F5496" w:themeColor="accent1" w:themeShade="BF"/>
    </w:rPr>
  </w:style>
  <w:style w:type="character" w:styleId="IntenseReference">
    <w:name w:val="Intense Reference"/>
    <w:basedOn w:val="DefaultParagraphFont"/>
    <w:uiPriority w:val="32"/>
    <w:qFormat/>
    <w:rsid w:val="00047D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raj</dc:creator>
  <cp:keywords/>
  <dc:description/>
  <cp:lastModifiedBy>sabari raj</cp:lastModifiedBy>
  <cp:revision>1</cp:revision>
  <dcterms:created xsi:type="dcterms:W3CDTF">2025-02-04T11:19:00Z</dcterms:created>
  <dcterms:modified xsi:type="dcterms:W3CDTF">2025-02-04T11:22:00Z</dcterms:modified>
</cp:coreProperties>
</file>