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Osman Interlinings Limited (OIL)</w:t>
      </w:r>
    </w:p>
    <w:p>
      <w:pPr>
        <w:pStyle w:val="Heading1"/>
      </w:pPr>
      <w:r>
        <w:t>Comprehensive Procurement Process &amp; Automation Specification</w:t>
      </w:r>
    </w:p>
    <w:p>
      <w:r>
        <w:rPr>
          <w:b/>
          <w:i w:val="0"/>
        </w:rPr>
        <w:t>Document ID:</w:t>
      </w:r>
      <w:r>
        <w:t xml:space="preserve"> OIL-PMS-BRD-001</w:t>
      </w:r>
      <w:r>
        <w:br/>
      </w:r>
      <w:r>
        <w:rPr>
          <w:b/>
          <w:i w:val="0"/>
        </w:rPr>
        <w:t>Version:</w:t>
      </w:r>
      <w:r>
        <w:t xml:space="preserve"> 1.0 — Proposed / For Review</w:t>
      </w:r>
      <w:r>
        <w:br/>
      </w:r>
      <w:r>
        <w:rPr>
          <w:b/>
          <w:i w:val="0"/>
        </w:rPr>
        <w:t>Date:</w:t>
      </w:r>
      <w:r>
        <w:t xml:space="preserve"> 11 October 2026</w:t>
      </w:r>
      <w:r>
        <w:br/>
      </w:r>
      <w:r>
        <w:rPr>
          <w:b/>
          <w:i w:val="0"/>
        </w:rPr>
        <w:t>Process owner:</w:t>
      </w:r>
      <w:r>
        <w:t xml:space="preserve"> Procurement Department</w:t>
      </w:r>
      <w:r>
        <w:br/>
      </w:r>
      <w:r>
        <w:rPr>
          <w:b/>
          <w:i w:val="0"/>
        </w:rPr>
        <w:t>Stakeholders:</w:t>
      </w:r>
      <w:r>
        <w:t xml:space="preserve"> Marketing, Store, Quality Assurance (QA), Procurement, Finance &amp; Accounts, Import/Logistics, Executive Director (ED) / Delegated Final Approver, Suppliers, IT</w:t>
      </w:r>
      <w:r>
        <w:br/>
      </w:r>
      <w:r>
        <w:rPr>
          <w:b/>
          <w:i w:val="0"/>
        </w:rPr>
        <w:t>System name (proposed):</w:t>
      </w:r>
      <w:r>
        <w:t xml:space="preserve"> OIL Procurement Management System (OIL-PMS)</w:t>
      </w:r>
    </w:p>
    <w:p>
      <w:pPr>
        <w:pStyle w:val="Quote"/>
      </w:pPr>
      <w:r>
        <w:t>Purpose. Define an end-to-end, auditable, software-ready workflow for procuring interlining raw materials at OIL. This is a proposed target-state process, not an assertion that every policy or approval limit has already been adopted. Policy choices requiring confirmation are identified in Section 17.</w:t>
      </w:r>
    </w:p>
    <w:p/>
    <w:p>
      <w:pPr>
        <w:pStyle w:val="Heading2"/>
      </w:pPr>
      <w:r>
        <w:t>1. Executive summary</w:t>
      </w:r>
    </w:p>
    <w:p>
      <w:r>
        <w:t>OIL-PMS will centralize purchase requisitions, consolidate compatible requirements, solicit supplier quotes using expiring secure links, collect structured commercial/technical offers, record sample-testing results, compare and negotiate bids, obtain Marketing acknowledgment and Finance/ED approvals, and automatically generate and email a Purchase Order (PO) following final approval. The process continues through supplier acknowledgment, Proforma Invoice (PI) validation, import execution, goods receipt, invoice matching, and payment closure.</w:t>
      </w:r>
    </w:p>
    <w:p>
      <w:r>
        <w:rPr>
          <w:b/>
          <w:i w:val="0"/>
        </w:rPr>
        <w:t>Target outcomes:</w:t>
      </w:r>
      <w:r>
        <w:t xml:space="preserve"> (1) process discipline and traceability, (2) informed, quality-compliant supplier selection, (3) competitive landed-cost procurement, (4) faster cycle time, and (5) real-time management visibility.</w:t>
      </w:r>
    </w:p>
    <w:p>
      <w:r>
        <w:rPr>
          <w:b/>
          <w:i w:val="0"/>
        </w:rPr>
        <w:t>Key design rules:</w:t>
      </w:r>
    </w:p>
    <w:p>
      <w:pPr>
        <w:pStyle w:val="ListNumber"/>
      </w:pPr>
      <w:r>
        <w:t>Every request and transaction has a unique identifier and responsible owner.</w:t>
      </w:r>
    </w:p>
    <w:p>
      <w:pPr>
        <w:pStyle w:val="ListNumber"/>
      </w:pPr>
      <w:r>
        <w:t>Every invited supplier receives an individual, restricted RFQ URL—not a shared open quotation page.</w:t>
      </w:r>
    </w:p>
    <w:p>
      <w:pPr>
        <w:pStyle w:val="ListNumber"/>
      </w:pPr>
      <w:r>
        <w:t xml:space="preserve">RFQ deadlines use the supplier-country calendar, initially </w:t>
      </w:r>
      <w:r>
        <w:rPr>
          <w:b/>
          <w:i w:val="0"/>
        </w:rPr>
        <w:t>China (Asia/Shanghai, UTC+08:00)</w:t>
      </w:r>
      <w:r>
        <w:t>, including official holidays and adjusted make-up working days.</w:t>
      </w:r>
    </w:p>
    <w:p>
      <w:pPr>
        <w:pStyle w:val="ListNumber"/>
      </w:pPr>
      <w:r>
        <w:t>Supplier quotes remain confidential from competing suppliers; commercial information is released internally by role and evaluation stage.</w:t>
      </w:r>
    </w:p>
    <w:p>
      <w:pPr>
        <w:pStyle w:val="ListNumber"/>
      </w:pPr>
      <w:r>
        <w:t>Sample/technical compliance is independently recorded before award; an authorized waiver is documented where testing is not required.</w:t>
      </w:r>
    </w:p>
    <w:p>
      <w:pPr>
        <w:pStyle w:val="ListNumber"/>
      </w:pPr>
      <w:r>
        <w:t xml:space="preserve">Marketing </w:t>
      </w:r>
      <w:r>
        <w:rPr>
          <w:b/>
          <w:i w:val="0"/>
        </w:rPr>
        <w:t>ACK</w:t>
      </w:r>
      <w:r>
        <w:t xml:space="preserve"> is an acknowledgment, Finance </w:t>
      </w:r>
      <w:r>
        <w:rPr>
          <w:b/>
          <w:i w:val="0"/>
        </w:rPr>
        <w:t>APP</w:t>
      </w:r>
      <w:r>
        <w:t xml:space="preserve"> is financial approval, and ED/delegated authority provides </w:t>
      </w:r>
      <w:r>
        <w:rPr>
          <w:b/>
          <w:i w:val="0"/>
        </w:rPr>
        <w:t>final approval</w:t>
      </w:r>
      <w:r>
        <w:t>.</w:t>
      </w:r>
    </w:p>
    <w:p>
      <w:pPr>
        <w:pStyle w:val="ListNumber"/>
      </w:pPr>
      <w:r>
        <w:t xml:space="preserve">PO email is automatic </w:t>
      </w:r>
      <w:r>
        <w:rPr>
          <w:b/>
          <w:i w:val="0"/>
        </w:rPr>
        <w:t>only after</w:t>
      </w:r>
      <w:r>
        <w:t xml:space="preserve"> final approval, PO completeness checks, and a valid supplier email address.</w:t>
      </w:r>
    </w:p>
    <w:p>
      <w:pPr>
        <w:pStyle w:val="ListNumber"/>
      </w:pPr>
      <w:r>
        <w:t>PO/PI variations must be detected, documented and, when material, reapproved.</w:t>
      </w:r>
    </w:p>
    <w:p/>
    <w:p>
      <w:pPr>
        <w:pStyle w:val="Heading2"/>
      </w:pPr>
      <w:r>
        <w:t>2. Scope and boundaries</w:t>
      </w:r>
    </w:p>
    <w:p>
      <w:pPr>
        <w:pStyle w:val="Heading3"/>
      </w:pPr>
      <w:r>
        <w:t>In scope</w:t>
      </w:r>
    </w:p>
    <w:p>
      <w:pPr>
        <w:pStyle w:val="ListBullet"/>
      </w:pPr>
      <w:r>
        <w:t>Domestic or overseas purchases of interlining-related raw materials, with overseas/import sourcing as the primary reference flow.</w:t>
      </w:r>
    </w:p>
    <w:p>
      <w:pPr>
        <w:pStyle w:val="ListBullet"/>
      </w:pPr>
      <w:r>
        <w:t>Requirements raised by Marketing or Store; consolidation and procurement validation.</w:t>
      </w:r>
    </w:p>
    <w:p>
      <w:pPr>
        <w:pStyle w:val="ListBullet"/>
      </w:pPr>
      <w:r>
        <w:t>Supplier shortlist, RFQ, supplier data entry, secure submissions and reminders.</w:t>
      </w:r>
    </w:p>
    <w:p>
      <w:pPr>
        <w:pStyle w:val="ListBullet"/>
      </w:pPr>
      <w:r>
        <w:t>Technical/quality evaluation and sampling, supplier comparison, negotiation and approval.</w:t>
      </w:r>
    </w:p>
    <w:p>
      <w:pPr>
        <w:pStyle w:val="ListBullet"/>
      </w:pPr>
      <w:r>
        <w:t>Auto-PO generation, supplier acknowledgment, PI checking, shipment, GRN, supplier invoicing and settlement.</w:t>
      </w:r>
    </w:p>
    <w:p>
      <w:pPr>
        <w:pStyle w:val="ListBullet"/>
      </w:pPr>
      <w:r>
        <w:t>Reporting, document repository, notifications, role-based access and audit evidence.</w:t>
      </w:r>
    </w:p>
    <w:p>
      <w:pPr>
        <w:pStyle w:val="Heading3"/>
      </w:pPr>
      <w:r>
        <w:t>Separate or conditional branches</w:t>
      </w:r>
    </w:p>
    <w:p>
      <w:pPr>
        <w:pStyle w:val="ListBullet"/>
      </w:pPr>
      <w:r>
        <w:rPr>
          <w:b/>
          <w:i w:val="0"/>
        </w:rPr>
        <w:t>Domestic purchase:</w:t>
      </w:r>
      <w:r>
        <w:t xml:space="preserve"> may bypass LC/TT and customs steps while retaining PO, receipt, QA, three-way match and payment.</w:t>
      </w:r>
    </w:p>
    <w:p>
      <w:pPr>
        <w:pStyle w:val="ListBullet"/>
      </w:pPr>
      <w:r>
        <w:rPr>
          <w:b/>
          <w:i w:val="0"/>
        </w:rPr>
        <w:t>Repeat/approved material:</w:t>
      </w:r>
      <w:r>
        <w:t xml:space="preserve"> technical testing may be waived under an approved, logged rule.</w:t>
      </w:r>
    </w:p>
    <w:p>
      <w:pPr>
        <w:pStyle w:val="ListBullet"/>
      </w:pPr>
      <w:r>
        <w:rPr>
          <w:b/>
          <w:i w:val="0"/>
        </w:rPr>
        <w:t>Single-source/emergency purchase:</w:t>
      </w:r>
      <w:r>
        <w:t xml:space="preserve"> requires documented justification and approval; cannot silently bypass governance.</w:t>
      </w:r>
    </w:p>
    <w:p>
      <w:pPr>
        <w:pStyle w:val="ListBullet"/>
      </w:pPr>
      <w:r>
        <w:rPr>
          <w:b/>
          <w:i w:val="0"/>
        </w:rPr>
        <w:t>Services or capital purchases:</w:t>
      </w:r>
      <w:r>
        <w:t xml:space="preserve"> may require separate field templates and approval policies.</w:t>
      </w:r>
    </w:p>
    <w:p/>
    <w:p>
      <w:pPr>
        <w:pStyle w:val="Heading2"/>
      </w:pPr>
      <w:r>
        <w:t>3. End-to-end numbered workflow (23 stages)</w:t>
      </w:r>
    </w:p>
    <w:p>
      <w:pPr>
        <w:spacing w:after="40"/>
        <w:jc w:val="center"/>
      </w:pPr>
      <w:r>
        <w:drawing>
          <wp:inline xmlns:a="http://schemas.openxmlformats.org/drawingml/2006/main" xmlns:pic="http://schemas.openxmlformats.org/drawingml/2006/picture">
            <wp:extent cx="5989320" cy="12319571"/>
            <wp:docPr id="1" name="Picture 1"/>
            <wp:cNvGraphicFramePr>
              <a:graphicFrameLocks noChangeAspect="1"/>
            </wp:cNvGraphicFramePr>
            <a:graphic>
              <a:graphicData uri="http://schemas.openxmlformats.org/drawingml/2006/picture">
                <pic:pic>
                  <pic:nvPicPr>
                    <pic:cNvPr id="0" name="01_master.png"/>
                    <pic:cNvPicPr/>
                  </pic:nvPicPr>
                  <pic:blipFill>
                    <a:blip r:embed="rId11"/>
                    <a:stretch>
                      <a:fillRect/>
                    </a:stretch>
                  </pic:blipFill>
                  <pic:spPr>
                    <a:xfrm>
                      <a:off x="0" y="0"/>
                      <a:ext cx="5989320" cy="12319571"/>
                    </a:xfrm>
                    <a:prstGeom prst="rect"/>
                  </pic:spPr>
                </pic:pic>
              </a:graphicData>
            </a:graphic>
          </wp:inline>
        </w:drawing>
      </w:r>
    </w:p>
    <w:p>
      <w:pPr>
        <w:pStyle w:val="Caption"/>
        <w:jc w:val="center"/>
      </w:pPr>
      <w:r>
        <w:t>Figure 1. Full procurement lifecycle - 23 stages</w:t>
      </w:r>
    </w:p>
    <w:p>
      <w:pPr>
        <w:pStyle w:val="Heading3"/>
      </w:pPr>
      <w:r>
        <w:t>Sequential stage register</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rPr>
          <w:tblHeader w:val="true"/>
        </w:trPr>
        <w:tc>
          <w:tcPr>
            <w:tcW w:type="dxa" w:w="1964"/>
            <w:vAlign w:val="center"/>
            <w:shd w:fill="DDF1F1"/>
          </w:tcPr>
          <w:p>
            <w:pPr>
              <w:spacing w:after="20"/>
            </w:pPr>
            <w:r>
              <w:rPr>
                <w:b/>
                <w:sz w:val="15"/>
              </w:rPr>
              <w:t>No.</w:t>
            </w:r>
          </w:p>
        </w:tc>
        <w:tc>
          <w:tcPr>
            <w:tcW w:type="dxa" w:w="1964"/>
            <w:vAlign w:val="center"/>
            <w:shd w:fill="DDF1F1"/>
          </w:tcPr>
          <w:p>
            <w:pPr>
              <w:spacing w:after="20"/>
            </w:pPr>
            <w:r>
              <w:rPr>
                <w:b/>
                <w:sz w:val="15"/>
              </w:rPr>
              <w:t>Stage</w:t>
            </w:r>
          </w:p>
        </w:tc>
        <w:tc>
          <w:tcPr>
            <w:tcW w:type="dxa" w:w="1964"/>
            <w:vAlign w:val="center"/>
            <w:shd w:fill="DDF1F1"/>
          </w:tcPr>
          <w:p>
            <w:pPr>
              <w:spacing w:after="20"/>
            </w:pPr>
            <w:r>
              <w:rPr>
                <w:b/>
                <w:sz w:val="15"/>
              </w:rPr>
              <w:t>Primary owner</w:t>
            </w:r>
          </w:p>
        </w:tc>
        <w:tc>
          <w:tcPr>
            <w:tcW w:type="dxa" w:w="1964"/>
            <w:vAlign w:val="center"/>
            <w:shd w:fill="DDF1F1"/>
          </w:tcPr>
          <w:p>
            <w:pPr>
              <w:spacing w:after="20"/>
            </w:pPr>
            <w:r>
              <w:rPr>
                <w:b/>
                <w:sz w:val="15"/>
              </w:rPr>
              <w:t>Input / trigger</w:t>
            </w:r>
          </w:p>
        </w:tc>
        <w:tc>
          <w:tcPr>
            <w:tcW w:type="dxa" w:w="1964"/>
            <w:vAlign w:val="center"/>
            <w:shd w:fill="DDF1F1"/>
          </w:tcPr>
          <w:p>
            <w:pPr>
              <w:spacing w:after="20"/>
            </w:pPr>
            <w:r>
              <w:rPr>
                <w:b/>
                <w:sz w:val="15"/>
              </w:rPr>
              <w:t>Mandatory result / hand-off</w:t>
            </w:r>
          </w:p>
        </w:tc>
      </w:tr>
      <w:tr>
        <w:tc>
          <w:tcPr>
            <w:tcW w:type="dxa" w:w="1964"/>
            <w:vAlign w:val="center"/>
          </w:tcPr>
          <w:p>
            <w:pPr>
              <w:spacing w:after="20"/>
            </w:pPr>
            <w:r>
              <w:rPr>
                <w:sz w:val="15"/>
              </w:rPr>
              <w:t>01</w:t>
            </w:r>
          </w:p>
        </w:tc>
        <w:tc>
          <w:tcPr>
            <w:tcW w:type="dxa" w:w="1964"/>
            <w:vAlign w:val="center"/>
          </w:tcPr>
          <w:p>
            <w:pPr>
              <w:spacing w:after="20"/>
            </w:pPr>
            <w:r>
              <w:rPr>
                <w:sz w:val="15"/>
              </w:rPr>
              <w:t>Purchase requisition</w:t>
            </w:r>
          </w:p>
        </w:tc>
        <w:tc>
          <w:tcPr>
            <w:tcW w:type="dxa" w:w="1964"/>
            <w:vAlign w:val="center"/>
          </w:tcPr>
          <w:p>
            <w:pPr>
              <w:spacing w:after="20"/>
            </w:pPr>
            <w:r>
              <w:rPr>
                <w:sz w:val="15"/>
              </w:rPr>
              <w:t>Marketing / Store</w:t>
            </w:r>
          </w:p>
        </w:tc>
        <w:tc>
          <w:tcPr>
            <w:tcW w:type="dxa" w:w="1964"/>
            <w:vAlign w:val="center"/>
          </w:tcPr>
          <w:p>
            <w:pPr>
              <w:spacing w:after="20"/>
            </w:pPr>
            <w:r>
              <w:rPr>
                <w:sz w:val="15"/>
              </w:rPr>
              <w:t>Material requirement</w:t>
            </w:r>
          </w:p>
        </w:tc>
        <w:tc>
          <w:tcPr>
            <w:tcW w:type="dxa" w:w="1964"/>
            <w:vAlign w:val="center"/>
          </w:tcPr>
          <w:p>
            <w:pPr>
              <w:spacing w:after="20"/>
            </w:pPr>
            <w:r>
              <w:rPr>
                <w:sz w:val="15"/>
              </w:rPr>
              <w:t>Draft/submitted PR with item, quantity, required date, reason and attachment</w:t>
            </w:r>
          </w:p>
        </w:tc>
      </w:tr>
      <w:tr>
        <w:tc>
          <w:tcPr>
            <w:tcW w:type="dxa" w:w="1964"/>
            <w:vAlign w:val="center"/>
          </w:tcPr>
          <w:p>
            <w:pPr>
              <w:spacing w:after="20"/>
            </w:pPr>
            <w:r>
              <w:rPr>
                <w:sz w:val="15"/>
              </w:rPr>
              <w:t>02</w:t>
            </w:r>
          </w:p>
        </w:tc>
        <w:tc>
          <w:tcPr>
            <w:tcW w:type="dxa" w:w="1964"/>
            <w:vAlign w:val="center"/>
          </w:tcPr>
          <w:p>
            <w:pPr>
              <w:spacing w:after="20"/>
            </w:pPr>
            <w:r>
              <w:rPr>
                <w:sz w:val="15"/>
              </w:rPr>
              <w:t>Requisition consolidation</w:t>
            </w:r>
          </w:p>
        </w:tc>
        <w:tc>
          <w:tcPr>
            <w:tcW w:type="dxa" w:w="1964"/>
            <w:vAlign w:val="center"/>
          </w:tcPr>
          <w:p>
            <w:pPr>
              <w:spacing w:after="20"/>
            </w:pPr>
            <w:r>
              <w:rPr>
                <w:sz w:val="15"/>
              </w:rPr>
              <w:t>Procurement</w:t>
            </w:r>
          </w:p>
        </w:tc>
        <w:tc>
          <w:tcPr>
            <w:tcW w:type="dxa" w:w="1964"/>
            <w:vAlign w:val="center"/>
          </w:tcPr>
          <w:p>
            <w:pPr>
              <w:spacing w:after="20"/>
            </w:pPr>
            <w:r>
              <w:rPr>
                <w:sz w:val="15"/>
              </w:rPr>
              <w:t>Submitted PRs</w:t>
            </w:r>
          </w:p>
        </w:tc>
        <w:tc>
          <w:tcPr>
            <w:tcW w:type="dxa" w:w="1964"/>
            <w:vAlign w:val="center"/>
          </w:tcPr>
          <w:p>
            <w:pPr>
              <w:spacing w:after="20"/>
            </w:pPr>
            <w:r>
              <w:rPr>
                <w:sz w:val="15"/>
              </w:rPr>
              <w:t>Grouped demand preserving original PR and department references</w:t>
            </w:r>
          </w:p>
        </w:tc>
      </w:tr>
      <w:tr>
        <w:tc>
          <w:tcPr>
            <w:tcW w:type="dxa" w:w="1964"/>
            <w:vAlign w:val="center"/>
          </w:tcPr>
          <w:p>
            <w:pPr>
              <w:spacing w:after="20"/>
            </w:pPr>
            <w:r>
              <w:rPr>
                <w:sz w:val="15"/>
              </w:rPr>
              <w:t>03</w:t>
            </w:r>
          </w:p>
        </w:tc>
        <w:tc>
          <w:tcPr>
            <w:tcW w:type="dxa" w:w="1964"/>
            <w:vAlign w:val="center"/>
          </w:tcPr>
          <w:p>
            <w:pPr>
              <w:spacing w:after="20"/>
            </w:pPr>
            <w:r>
              <w:rPr>
                <w:sz w:val="15"/>
              </w:rPr>
              <w:t>Requisition verification</w:t>
            </w:r>
          </w:p>
        </w:tc>
        <w:tc>
          <w:tcPr>
            <w:tcW w:type="dxa" w:w="1964"/>
            <w:vAlign w:val="center"/>
          </w:tcPr>
          <w:p>
            <w:pPr>
              <w:spacing w:after="20"/>
            </w:pPr>
            <w:r>
              <w:rPr>
                <w:sz w:val="15"/>
              </w:rPr>
              <w:t>Procurement reviewer</w:t>
            </w:r>
          </w:p>
        </w:tc>
        <w:tc>
          <w:tcPr>
            <w:tcW w:type="dxa" w:w="1964"/>
            <w:vAlign w:val="center"/>
          </w:tcPr>
          <w:p>
            <w:pPr>
              <w:spacing w:after="20"/>
            </w:pPr>
            <w:r>
              <w:rPr>
                <w:sz w:val="15"/>
              </w:rPr>
              <w:t>Consolidated demand</w:t>
            </w:r>
          </w:p>
        </w:tc>
        <w:tc>
          <w:tcPr>
            <w:tcW w:type="dxa" w:w="1964"/>
            <w:vAlign w:val="center"/>
          </w:tcPr>
          <w:p>
            <w:pPr>
              <w:spacing w:after="20"/>
            </w:pPr>
            <w:r>
              <w:rPr>
                <w:sz w:val="15"/>
              </w:rPr>
              <w:t>Verified/returned requisition; specification and stock checks</w:t>
            </w:r>
          </w:p>
        </w:tc>
      </w:tr>
      <w:tr>
        <w:tc>
          <w:tcPr>
            <w:tcW w:type="dxa" w:w="1964"/>
            <w:vAlign w:val="center"/>
          </w:tcPr>
          <w:p>
            <w:pPr>
              <w:spacing w:after="20"/>
            </w:pPr>
            <w:r>
              <w:rPr>
                <w:sz w:val="15"/>
              </w:rPr>
              <w:t>04</w:t>
            </w:r>
          </w:p>
        </w:tc>
        <w:tc>
          <w:tcPr>
            <w:tcW w:type="dxa" w:w="1964"/>
            <w:vAlign w:val="center"/>
          </w:tcPr>
          <w:p>
            <w:pPr>
              <w:spacing w:after="20"/>
            </w:pPr>
            <w:r>
              <w:rPr>
                <w:sz w:val="15"/>
              </w:rPr>
              <w:t>RFQ preparation</w:t>
            </w:r>
          </w:p>
        </w:tc>
        <w:tc>
          <w:tcPr>
            <w:tcW w:type="dxa" w:w="1964"/>
            <w:vAlign w:val="center"/>
          </w:tcPr>
          <w:p>
            <w:pPr>
              <w:spacing w:after="20"/>
            </w:pPr>
            <w:r>
              <w:rPr>
                <w:sz w:val="15"/>
              </w:rPr>
              <w:t>Procurement</w:t>
            </w:r>
          </w:p>
        </w:tc>
        <w:tc>
          <w:tcPr>
            <w:tcW w:type="dxa" w:w="1964"/>
            <w:vAlign w:val="center"/>
          </w:tcPr>
          <w:p>
            <w:pPr>
              <w:spacing w:after="20"/>
            </w:pPr>
            <w:r>
              <w:rPr>
                <w:sz w:val="15"/>
              </w:rPr>
              <w:t>Verified demand</w:t>
            </w:r>
          </w:p>
        </w:tc>
        <w:tc>
          <w:tcPr>
            <w:tcW w:type="dxa" w:w="1964"/>
            <w:vAlign w:val="center"/>
          </w:tcPr>
          <w:p>
            <w:pPr>
              <w:spacing w:after="20"/>
            </w:pPr>
            <w:r>
              <w:rPr>
                <w:sz w:val="15"/>
              </w:rPr>
              <w:t>Numbered RFQ with item specification, response terms and deadline policy</w:t>
            </w:r>
          </w:p>
        </w:tc>
      </w:tr>
      <w:tr>
        <w:tc>
          <w:tcPr>
            <w:tcW w:type="dxa" w:w="1964"/>
            <w:vAlign w:val="center"/>
          </w:tcPr>
          <w:p>
            <w:pPr>
              <w:spacing w:after="20"/>
            </w:pPr>
            <w:r>
              <w:rPr>
                <w:sz w:val="15"/>
              </w:rPr>
              <w:t>05</w:t>
            </w:r>
          </w:p>
        </w:tc>
        <w:tc>
          <w:tcPr>
            <w:tcW w:type="dxa" w:w="1964"/>
            <w:vAlign w:val="center"/>
          </w:tcPr>
          <w:p>
            <w:pPr>
              <w:spacing w:after="20"/>
            </w:pPr>
            <w:r>
              <w:rPr>
                <w:sz w:val="15"/>
              </w:rPr>
              <w:t>Supplier selection</w:t>
            </w:r>
          </w:p>
        </w:tc>
        <w:tc>
          <w:tcPr>
            <w:tcW w:type="dxa" w:w="1964"/>
            <w:vAlign w:val="center"/>
          </w:tcPr>
          <w:p>
            <w:pPr>
              <w:spacing w:after="20"/>
            </w:pPr>
            <w:r>
              <w:rPr>
                <w:sz w:val="15"/>
              </w:rPr>
              <w:t>Procurement</w:t>
            </w:r>
          </w:p>
        </w:tc>
        <w:tc>
          <w:tcPr>
            <w:tcW w:type="dxa" w:w="1964"/>
            <w:vAlign w:val="center"/>
          </w:tcPr>
          <w:p>
            <w:pPr>
              <w:spacing w:after="20"/>
            </w:pPr>
            <w:r>
              <w:rPr>
                <w:sz w:val="15"/>
              </w:rPr>
              <w:t>RFQ ready</w:t>
            </w:r>
          </w:p>
        </w:tc>
        <w:tc>
          <w:tcPr>
            <w:tcW w:type="dxa" w:w="1964"/>
            <w:vAlign w:val="center"/>
          </w:tcPr>
          <w:p>
            <w:pPr>
              <w:spacing w:after="20"/>
            </w:pPr>
            <w:r>
              <w:rPr>
                <w:sz w:val="15"/>
              </w:rPr>
              <w:t>Eligible shortlist from supplier master, with sourcing justification</w:t>
            </w:r>
          </w:p>
        </w:tc>
      </w:tr>
      <w:tr>
        <w:tc>
          <w:tcPr>
            <w:tcW w:type="dxa" w:w="1964"/>
            <w:vAlign w:val="center"/>
          </w:tcPr>
          <w:p>
            <w:pPr>
              <w:spacing w:after="20"/>
            </w:pPr>
            <w:r>
              <w:rPr>
                <w:sz w:val="15"/>
              </w:rPr>
              <w:t>06</w:t>
            </w:r>
          </w:p>
        </w:tc>
        <w:tc>
          <w:tcPr>
            <w:tcW w:type="dxa" w:w="1964"/>
            <w:vAlign w:val="center"/>
          </w:tcPr>
          <w:p>
            <w:pPr>
              <w:spacing w:after="20"/>
            </w:pPr>
            <w:r>
              <w:rPr>
                <w:sz w:val="15"/>
              </w:rPr>
              <w:t>Secure link generation</w:t>
            </w:r>
          </w:p>
        </w:tc>
        <w:tc>
          <w:tcPr>
            <w:tcW w:type="dxa" w:w="1964"/>
            <w:vAlign w:val="center"/>
          </w:tcPr>
          <w:p>
            <w:pPr>
              <w:spacing w:after="20"/>
            </w:pPr>
            <w:r>
              <w:rPr>
                <w:sz w:val="15"/>
              </w:rPr>
              <w:t>System</w:t>
            </w:r>
          </w:p>
        </w:tc>
        <w:tc>
          <w:tcPr>
            <w:tcW w:type="dxa" w:w="1964"/>
            <w:vAlign w:val="center"/>
          </w:tcPr>
          <w:p>
            <w:pPr>
              <w:spacing w:after="20"/>
            </w:pPr>
            <w:r>
              <w:rPr>
                <w:sz w:val="15"/>
              </w:rPr>
              <w:t>Published RFQ + suppliers</w:t>
            </w:r>
          </w:p>
        </w:tc>
        <w:tc>
          <w:tcPr>
            <w:tcW w:type="dxa" w:w="1964"/>
            <w:vAlign w:val="center"/>
          </w:tcPr>
          <w:p>
            <w:pPr>
              <w:spacing w:after="20"/>
            </w:pPr>
            <w:r>
              <w:rPr>
                <w:sz w:val="15"/>
              </w:rPr>
              <w:t>Unique supplier-bound tokens and per-supplier deadlines</w:t>
            </w:r>
          </w:p>
        </w:tc>
      </w:tr>
      <w:tr>
        <w:tc>
          <w:tcPr>
            <w:tcW w:type="dxa" w:w="1964"/>
            <w:vAlign w:val="center"/>
          </w:tcPr>
          <w:p>
            <w:pPr>
              <w:spacing w:after="20"/>
            </w:pPr>
            <w:r>
              <w:rPr>
                <w:sz w:val="15"/>
              </w:rPr>
              <w:t>07</w:t>
            </w:r>
          </w:p>
        </w:tc>
        <w:tc>
          <w:tcPr>
            <w:tcW w:type="dxa" w:w="1964"/>
            <w:vAlign w:val="center"/>
          </w:tcPr>
          <w:p>
            <w:pPr>
              <w:spacing w:after="20"/>
            </w:pPr>
            <w:r>
              <w:rPr>
                <w:sz w:val="15"/>
              </w:rPr>
              <w:t>RFQ invitation email</w:t>
            </w:r>
          </w:p>
        </w:tc>
        <w:tc>
          <w:tcPr>
            <w:tcW w:type="dxa" w:w="1964"/>
            <w:vAlign w:val="center"/>
          </w:tcPr>
          <w:p>
            <w:pPr>
              <w:spacing w:after="20"/>
            </w:pPr>
            <w:r>
              <w:rPr>
                <w:sz w:val="15"/>
              </w:rPr>
              <w:t>System</w:t>
            </w:r>
          </w:p>
        </w:tc>
        <w:tc>
          <w:tcPr>
            <w:tcW w:type="dxa" w:w="1964"/>
            <w:vAlign w:val="center"/>
          </w:tcPr>
          <w:p>
            <w:pPr>
              <w:spacing w:after="20"/>
            </w:pPr>
            <w:r>
              <w:rPr>
                <w:sz w:val="15"/>
              </w:rPr>
              <w:t>Valid links</w:t>
            </w:r>
          </w:p>
        </w:tc>
        <w:tc>
          <w:tcPr>
            <w:tcW w:type="dxa" w:w="1964"/>
            <w:vAlign w:val="center"/>
          </w:tcPr>
          <w:p>
            <w:pPr>
              <w:spacing w:after="20"/>
            </w:pPr>
            <w:r>
              <w:rPr>
                <w:sz w:val="15"/>
              </w:rPr>
              <w:t>Logged emails with RFQ instructions, due date and URL</w:t>
            </w:r>
          </w:p>
        </w:tc>
      </w:tr>
      <w:tr>
        <w:tc>
          <w:tcPr>
            <w:tcW w:type="dxa" w:w="1964"/>
            <w:vAlign w:val="center"/>
          </w:tcPr>
          <w:p>
            <w:pPr>
              <w:spacing w:after="20"/>
            </w:pPr>
            <w:r>
              <w:rPr>
                <w:sz w:val="15"/>
              </w:rPr>
              <w:t>08</w:t>
            </w:r>
          </w:p>
        </w:tc>
        <w:tc>
          <w:tcPr>
            <w:tcW w:type="dxa" w:w="1964"/>
            <w:vAlign w:val="center"/>
          </w:tcPr>
          <w:p>
            <w:pPr>
              <w:spacing w:after="20"/>
            </w:pPr>
            <w:r>
              <w:rPr>
                <w:sz w:val="15"/>
              </w:rPr>
              <w:t>Supplier quotation entry</w:t>
            </w:r>
          </w:p>
        </w:tc>
        <w:tc>
          <w:tcPr>
            <w:tcW w:type="dxa" w:w="1964"/>
            <w:vAlign w:val="center"/>
          </w:tcPr>
          <w:p>
            <w:pPr>
              <w:spacing w:after="20"/>
            </w:pPr>
            <w:r>
              <w:rPr>
                <w:sz w:val="15"/>
              </w:rPr>
              <w:t>Supplier</w:t>
            </w:r>
          </w:p>
        </w:tc>
        <w:tc>
          <w:tcPr>
            <w:tcW w:type="dxa" w:w="1964"/>
            <w:vAlign w:val="center"/>
          </w:tcPr>
          <w:p>
            <w:pPr>
              <w:spacing w:after="20"/>
            </w:pPr>
            <w:r>
              <w:rPr>
                <w:sz w:val="15"/>
              </w:rPr>
              <w:t>Open link</w:t>
            </w:r>
          </w:p>
        </w:tc>
        <w:tc>
          <w:tcPr>
            <w:tcW w:type="dxa" w:w="1964"/>
            <w:vAlign w:val="center"/>
          </w:tcPr>
          <w:p>
            <w:pPr>
              <w:spacing w:after="20"/>
            </w:pPr>
            <w:r>
              <w:rPr>
                <w:sz w:val="15"/>
              </w:rPr>
              <w:t>Structured offer, documents, sample commitment and supplier declaration</w:t>
            </w:r>
          </w:p>
        </w:tc>
      </w:tr>
      <w:tr>
        <w:tc>
          <w:tcPr>
            <w:tcW w:type="dxa" w:w="1964"/>
            <w:vAlign w:val="center"/>
          </w:tcPr>
          <w:p>
            <w:pPr>
              <w:spacing w:after="20"/>
            </w:pPr>
            <w:r>
              <w:rPr>
                <w:sz w:val="15"/>
              </w:rPr>
              <w:t>09</w:t>
            </w:r>
          </w:p>
        </w:tc>
        <w:tc>
          <w:tcPr>
            <w:tcW w:type="dxa" w:w="1964"/>
            <w:vAlign w:val="center"/>
          </w:tcPr>
          <w:p>
            <w:pPr>
              <w:spacing w:after="20"/>
            </w:pPr>
            <w:r>
              <w:rPr>
                <w:sz w:val="15"/>
              </w:rPr>
              <w:t>Deadline/submission control</w:t>
            </w:r>
          </w:p>
        </w:tc>
        <w:tc>
          <w:tcPr>
            <w:tcW w:type="dxa" w:w="1964"/>
            <w:vAlign w:val="center"/>
          </w:tcPr>
          <w:p>
            <w:pPr>
              <w:spacing w:after="20"/>
            </w:pPr>
            <w:r>
              <w:rPr>
                <w:sz w:val="15"/>
              </w:rPr>
              <w:t>System</w:t>
            </w:r>
          </w:p>
        </w:tc>
        <w:tc>
          <w:tcPr>
            <w:tcW w:type="dxa" w:w="1964"/>
            <w:vAlign w:val="center"/>
          </w:tcPr>
          <w:p>
            <w:pPr>
              <w:spacing w:after="20"/>
            </w:pPr>
            <w:r>
              <w:rPr>
                <w:sz w:val="15"/>
              </w:rPr>
              <w:t>Supplier submit/timeout</w:t>
            </w:r>
          </w:p>
        </w:tc>
        <w:tc>
          <w:tcPr>
            <w:tcW w:type="dxa" w:w="1964"/>
            <w:vAlign w:val="center"/>
          </w:tcPr>
          <w:p>
            <w:pPr>
              <w:spacing w:after="20"/>
            </w:pPr>
            <w:r>
              <w:rPr>
                <w:sz w:val="15"/>
              </w:rPr>
              <w:t>Timestamped submission or closed/extended RFQ</w:t>
            </w:r>
          </w:p>
        </w:tc>
      </w:tr>
      <w:tr>
        <w:tc>
          <w:tcPr>
            <w:tcW w:type="dxa" w:w="1964"/>
            <w:vAlign w:val="center"/>
          </w:tcPr>
          <w:p>
            <w:pPr>
              <w:spacing w:after="20"/>
            </w:pPr>
            <w:r>
              <w:rPr>
                <w:sz w:val="15"/>
              </w:rPr>
              <w:t>10</w:t>
            </w:r>
          </w:p>
        </w:tc>
        <w:tc>
          <w:tcPr>
            <w:tcW w:type="dxa" w:w="1964"/>
            <w:vAlign w:val="center"/>
          </w:tcPr>
          <w:p>
            <w:pPr>
              <w:spacing w:after="20"/>
            </w:pPr>
            <w:r>
              <w:rPr>
                <w:sz w:val="15"/>
              </w:rPr>
              <w:t>Comparative statement (CS)</w:t>
            </w:r>
          </w:p>
        </w:tc>
        <w:tc>
          <w:tcPr>
            <w:tcW w:type="dxa" w:w="1964"/>
            <w:vAlign w:val="center"/>
          </w:tcPr>
          <w:p>
            <w:pPr>
              <w:spacing w:after="20"/>
            </w:pPr>
            <w:r>
              <w:rPr>
                <w:sz w:val="15"/>
              </w:rPr>
              <w:t>System / Procurement</w:t>
            </w:r>
          </w:p>
        </w:tc>
        <w:tc>
          <w:tcPr>
            <w:tcW w:type="dxa" w:w="1964"/>
            <w:vAlign w:val="center"/>
          </w:tcPr>
          <w:p>
            <w:pPr>
              <w:spacing w:after="20"/>
            </w:pPr>
            <w:r>
              <w:rPr>
                <w:sz w:val="15"/>
              </w:rPr>
              <w:t>Valid received quotations</w:t>
            </w:r>
          </w:p>
        </w:tc>
        <w:tc>
          <w:tcPr>
            <w:tcW w:type="dxa" w:w="1964"/>
            <w:vAlign w:val="center"/>
          </w:tcPr>
          <w:p>
            <w:pPr>
              <w:spacing w:after="20"/>
            </w:pPr>
            <w:r>
              <w:rPr>
                <w:sz w:val="15"/>
              </w:rPr>
              <w:t>Comparable bid matrix; normalization and omissions clearly identified</w:t>
            </w:r>
          </w:p>
        </w:tc>
      </w:tr>
      <w:tr>
        <w:tc>
          <w:tcPr>
            <w:tcW w:type="dxa" w:w="1964"/>
            <w:vAlign w:val="center"/>
          </w:tcPr>
          <w:p>
            <w:pPr>
              <w:spacing w:after="20"/>
            </w:pPr>
            <w:r>
              <w:rPr>
                <w:sz w:val="15"/>
              </w:rPr>
              <w:t>11</w:t>
            </w:r>
          </w:p>
        </w:tc>
        <w:tc>
          <w:tcPr>
            <w:tcW w:type="dxa" w:w="1964"/>
            <w:vAlign w:val="center"/>
          </w:tcPr>
          <w:p>
            <w:pPr>
              <w:spacing w:after="20"/>
            </w:pPr>
            <w:r>
              <w:rPr>
                <w:sz w:val="15"/>
              </w:rPr>
              <w:t>Sample collection and test</w:t>
            </w:r>
          </w:p>
        </w:tc>
        <w:tc>
          <w:tcPr>
            <w:tcW w:type="dxa" w:w="1964"/>
            <w:vAlign w:val="center"/>
          </w:tcPr>
          <w:p>
            <w:pPr>
              <w:spacing w:after="20"/>
            </w:pPr>
            <w:r>
              <w:rPr>
                <w:sz w:val="15"/>
              </w:rPr>
              <w:t>QA / Marketing</w:t>
            </w:r>
          </w:p>
        </w:tc>
        <w:tc>
          <w:tcPr>
            <w:tcW w:type="dxa" w:w="1964"/>
            <w:vAlign w:val="center"/>
          </w:tcPr>
          <w:p>
            <w:pPr>
              <w:spacing w:after="20"/>
            </w:pPr>
            <w:r>
              <w:rPr>
                <w:sz w:val="15"/>
              </w:rPr>
              <w:t>Sample required</w:t>
            </w:r>
          </w:p>
        </w:tc>
        <w:tc>
          <w:tcPr>
            <w:tcW w:type="dxa" w:w="1964"/>
            <w:vAlign w:val="center"/>
          </w:tcPr>
          <w:p>
            <w:pPr>
              <w:spacing w:after="20"/>
            </w:pPr>
            <w:r>
              <w:rPr>
                <w:sz w:val="15"/>
              </w:rPr>
              <w:t>Sample register and test report with evidence</w:t>
            </w:r>
          </w:p>
        </w:tc>
      </w:tr>
      <w:tr>
        <w:tc>
          <w:tcPr>
            <w:tcW w:type="dxa" w:w="1964"/>
            <w:vAlign w:val="center"/>
          </w:tcPr>
          <w:p>
            <w:pPr>
              <w:spacing w:after="20"/>
            </w:pPr>
            <w:r>
              <w:rPr>
                <w:sz w:val="15"/>
              </w:rPr>
              <w:t>12</w:t>
            </w:r>
          </w:p>
        </w:tc>
        <w:tc>
          <w:tcPr>
            <w:tcW w:type="dxa" w:w="1964"/>
            <w:vAlign w:val="center"/>
          </w:tcPr>
          <w:p>
            <w:pPr>
              <w:spacing w:after="20"/>
            </w:pPr>
            <w:r>
              <w:rPr>
                <w:sz w:val="15"/>
              </w:rPr>
              <w:t>Technical acceptance decision</w:t>
            </w:r>
          </w:p>
        </w:tc>
        <w:tc>
          <w:tcPr>
            <w:tcW w:type="dxa" w:w="1964"/>
            <w:vAlign w:val="center"/>
          </w:tcPr>
          <w:p>
            <w:pPr>
              <w:spacing w:after="20"/>
            </w:pPr>
            <w:r>
              <w:rPr>
                <w:sz w:val="15"/>
              </w:rPr>
              <w:t>QA / Marketing</w:t>
            </w:r>
          </w:p>
        </w:tc>
        <w:tc>
          <w:tcPr>
            <w:tcW w:type="dxa" w:w="1964"/>
            <w:vAlign w:val="center"/>
          </w:tcPr>
          <w:p>
            <w:pPr>
              <w:spacing w:after="20"/>
            </w:pPr>
            <w:r>
              <w:rPr>
                <w:sz w:val="15"/>
              </w:rPr>
              <w:t>Completed technical assessment</w:t>
            </w:r>
          </w:p>
        </w:tc>
        <w:tc>
          <w:tcPr>
            <w:tcW w:type="dxa" w:w="1964"/>
            <w:vAlign w:val="center"/>
          </w:tcPr>
          <w:p>
            <w:pPr>
              <w:spacing w:after="20"/>
            </w:pPr>
            <w:r>
              <w:rPr>
                <w:sz w:val="15"/>
              </w:rPr>
              <w:t>Pass / fail / approved waiver, with reasons</w:t>
            </w:r>
          </w:p>
        </w:tc>
      </w:tr>
      <w:tr>
        <w:tc>
          <w:tcPr>
            <w:tcW w:type="dxa" w:w="1964"/>
            <w:vAlign w:val="center"/>
          </w:tcPr>
          <w:p>
            <w:pPr>
              <w:spacing w:after="20"/>
            </w:pPr>
            <w:r>
              <w:rPr>
                <w:sz w:val="15"/>
              </w:rPr>
              <w:t>13</w:t>
            </w:r>
          </w:p>
        </w:tc>
        <w:tc>
          <w:tcPr>
            <w:tcW w:type="dxa" w:w="1964"/>
            <w:vAlign w:val="center"/>
          </w:tcPr>
          <w:p>
            <w:pPr>
              <w:spacing w:after="20"/>
            </w:pPr>
            <w:r>
              <w:rPr>
                <w:sz w:val="15"/>
              </w:rPr>
              <w:t>Commercial negotiation</w:t>
            </w:r>
          </w:p>
        </w:tc>
        <w:tc>
          <w:tcPr>
            <w:tcW w:type="dxa" w:w="1964"/>
            <w:vAlign w:val="center"/>
          </w:tcPr>
          <w:p>
            <w:pPr>
              <w:spacing w:after="20"/>
            </w:pPr>
            <w:r>
              <w:rPr>
                <w:sz w:val="15"/>
              </w:rPr>
              <w:t>Procurement</w:t>
            </w:r>
          </w:p>
        </w:tc>
        <w:tc>
          <w:tcPr>
            <w:tcW w:type="dxa" w:w="1964"/>
            <w:vAlign w:val="center"/>
          </w:tcPr>
          <w:p>
            <w:pPr>
              <w:spacing w:after="20"/>
            </w:pPr>
            <w:r>
              <w:rPr>
                <w:sz w:val="15"/>
              </w:rPr>
              <w:t>Technically qualified offers</w:t>
            </w:r>
          </w:p>
        </w:tc>
        <w:tc>
          <w:tcPr>
            <w:tcW w:type="dxa" w:w="1964"/>
            <w:vAlign w:val="center"/>
          </w:tcPr>
          <w:p>
            <w:pPr>
              <w:spacing w:after="20"/>
            </w:pPr>
            <w:r>
              <w:rPr>
                <w:sz w:val="15"/>
              </w:rPr>
              <w:t>Versioned negotiated terms and negotiation log</w:t>
            </w:r>
          </w:p>
        </w:tc>
      </w:tr>
      <w:tr>
        <w:tc>
          <w:tcPr>
            <w:tcW w:type="dxa" w:w="1964"/>
            <w:vAlign w:val="center"/>
          </w:tcPr>
          <w:p>
            <w:pPr>
              <w:spacing w:after="20"/>
            </w:pPr>
            <w:r>
              <w:rPr>
                <w:sz w:val="15"/>
              </w:rPr>
              <w:t>14</w:t>
            </w:r>
          </w:p>
        </w:tc>
        <w:tc>
          <w:tcPr>
            <w:tcW w:type="dxa" w:w="1964"/>
            <w:vAlign w:val="center"/>
          </w:tcPr>
          <w:p>
            <w:pPr>
              <w:spacing w:after="20"/>
            </w:pPr>
            <w:r>
              <w:rPr>
                <w:sz w:val="15"/>
              </w:rPr>
              <w:t>Supplier award recommendation</w:t>
            </w:r>
          </w:p>
        </w:tc>
        <w:tc>
          <w:tcPr>
            <w:tcW w:type="dxa" w:w="1964"/>
            <w:vAlign w:val="center"/>
          </w:tcPr>
          <w:p>
            <w:pPr>
              <w:spacing w:after="20"/>
            </w:pPr>
            <w:r>
              <w:rPr>
                <w:sz w:val="15"/>
              </w:rPr>
              <w:t>Procurement</w:t>
            </w:r>
          </w:p>
        </w:tc>
        <w:tc>
          <w:tcPr>
            <w:tcW w:type="dxa" w:w="1964"/>
            <w:vAlign w:val="center"/>
          </w:tcPr>
          <w:p>
            <w:pPr>
              <w:spacing w:after="20"/>
            </w:pPr>
            <w:r>
              <w:rPr>
                <w:sz w:val="15"/>
              </w:rPr>
              <w:t>Final offers + evaluations</w:t>
            </w:r>
          </w:p>
        </w:tc>
        <w:tc>
          <w:tcPr>
            <w:tcW w:type="dxa" w:w="1964"/>
            <w:vAlign w:val="center"/>
          </w:tcPr>
          <w:p>
            <w:pPr>
              <w:spacing w:after="20"/>
            </w:pPr>
            <w:r>
              <w:rPr>
                <w:sz w:val="15"/>
              </w:rPr>
              <w:t>Justified recommendation and final CS</w:t>
            </w:r>
          </w:p>
        </w:tc>
      </w:tr>
      <w:tr>
        <w:tc>
          <w:tcPr>
            <w:tcW w:type="dxa" w:w="1964"/>
            <w:vAlign w:val="center"/>
          </w:tcPr>
          <w:p>
            <w:pPr>
              <w:spacing w:after="20"/>
            </w:pPr>
            <w:r>
              <w:rPr>
                <w:sz w:val="15"/>
              </w:rPr>
              <w:t>15</w:t>
            </w:r>
          </w:p>
        </w:tc>
        <w:tc>
          <w:tcPr>
            <w:tcW w:type="dxa" w:w="1964"/>
            <w:vAlign w:val="center"/>
          </w:tcPr>
          <w:p>
            <w:pPr>
              <w:spacing w:after="20"/>
            </w:pPr>
            <w:r>
              <w:rPr>
                <w:sz w:val="15"/>
              </w:rPr>
              <w:t>Marketing acknowledgment</w:t>
            </w:r>
          </w:p>
        </w:tc>
        <w:tc>
          <w:tcPr>
            <w:tcW w:type="dxa" w:w="1964"/>
            <w:vAlign w:val="center"/>
          </w:tcPr>
          <w:p>
            <w:pPr>
              <w:spacing w:after="20"/>
            </w:pPr>
            <w:r>
              <w:rPr>
                <w:sz w:val="15"/>
              </w:rPr>
              <w:t>Marketing</w:t>
            </w:r>
          </w:p>
        </w:tc>
        <w:tc>
          <w:tcPr>
            <w:tcW w:type="dxa" w:w="1964"/>
            <w:vAlign w:val="center"/>
          </w:tcPr>
          <w:p>
            <w:pPr>
              <w:spacing w:after="20"/>
            </w:pPr>
            <w:r>
              <w:rPr>
                <w:sz w:val="15"/>
              </w:rPr>
              <w:t>Recommendation</w:t>
            </w:r>
          </w:p>
        </w:tc>
        <w:tc>
          <w:tcPr>
            <w:tcW w:type="dxa" w:w="1964"/>
            <w:vAlign w:val="center"/>
          </w:tcPr>
          <w:p>
            <w:pPr>
              <w:spacing w:after="20"/>
            </w:pPr>
            <w:r>
              <w:rPr>
                <w:sz w:val="15"/>
              </w:rPr>
              <w:t>ACK / return with recorded remarks</w:t>
            </w:r>
          </w:p>
        </w:tc>
      </w:tr>
      <w:tr>
        <w:tc>
          <w:tcPr>
            <w:tcW w:type="dxa" w:w="1964"/>
            <w:vAlign w:val="center"/>
          </w:tcPr>
          <w:p>
            <w:pPr>
              <w:spacing w:after="20"/>
            </w:pPr>
            <w:r>
              <w:rPr>
                <w:sz w:val="15"/>
              </w:rPr>
              <w:t>16</w:t>
            </w:r>
          </w:p>
        </w:tc>
        <w:tc>
          <w:tcPr>
            <w:tcW w:type="dxa" w:w="1964"/>
            <w:vAlign w:val="center"/>
          </w:tcPr>
          <w:p>
            <w:pPr>
              <w:spacing w:after="20"/>
            </w:pPr>
            <w:r>
              <w:rPr>
                <w:sz w:val="15"/>
              </w:rPr>
              <w:t>Finance approval</w:t>
            </w:r>
          </w:p>
        </w:tc>
        <w:tc>
          <w:tcPr>
            <w:tcW w:type="dxa" w:w="1964"/>
            <w:vAlign w:val="center"/>
          </w:tcPr>
          <w:p>
            <w:pPr>
              <w:spacing w:after="20"/>
            </w:pPr>
            <w:r>
              <w:rPr>
                <w:sz w:val="15"/>
              </w:rPr>
              <w:t>Finance &amp; Accounts</w:t>
            </w:r>
          </w:p>
        </w:tc>
        <w:tc>
          <w:tcPr>
            <w:tcW w:type="dxa" w:w="1964"/>
            <w:vAlign w:val="center"/>
          </w:tcPr>
          <w:p>
            <w:pPr>
              <w:spacing w:after="20"/>
            </w:pPr>
            <w:r>
              <w:rPr>
                <w:sz w:val="15"/>
              </w:rPr>
              <w:t>Marketing ACK</w:t>
            </w:r>
          </w:p>
        </w:tc>
        <w:tc>
          <w:tcPr>
            <w:tcW w:type="dxa" w:w="1964"/>
            <w:vAlign w:val="center"/>
          </w:tcPr>
          <w:p>
            <w:pPr>
              <w:spacing w:after="20"/>
            </w:pPr>
            <w:r>
              <w:rPr>
                <w:sz w:val="15"/>
              </w:rPr>
              <w:t>Approve / return / reject based on budget, exposure and landed cost</w:t>
            </w:r>
          </w:p>
        </w:tc>
      </w:tr>
      <w:tr>
        <w:tc>
          <w:tcPr>
            <w:tcW w:type="dxa" w:w="1964"/>
            <w:vAlign w:val="center"/>
          </w:tcPr>
          <w:p>
            <w:pPr>
              <w:spacing w:after="20"/>
            </w:pPr>
            <w:r>
              <w:rPr>
                <w:sz w:val="15"/>
              </w:rPr>
              <w:t>17</w:t>
            </w:r>
          </w:p>
        </w:tc>
        <w:tc>
          <w:tcPr>
            <w:tcW w:type="dxa" w:w="1964"/>
            <w:vAlign w:val="center"/>
          </w:tcPr>
          <w:p>
            <w:pPr>
              <w:spacing w:after="20"/>
            </w:pPr>
            <w:r>
              <w:rPr>
                <w:sz w:val="15"/>
              </w:rPr>
              <w:t>ED/final approval</w:t>
            </w:r>
          </w:p>
        </w:tc>
        <w:tc>
          <w:tcPr>
            <w:tcW w:type="dxa" w:w="1964"/>
            <w:vAlign w:val="center"/>
          </w:tcPr>
          <w:p>
            <w:pPr>
              <w:spacing w:after="20"/>
            </w:pPr>
            <w:r>
              <w:rPr>
                <w:sz w:val="15"/>
              </w:rPr>
              <w:t>ED / delegated authority</w:t>
            </w:r>
          </w:p>
        </w:tc>
        <w:tc>
          <w:tcPr>
            <w:tcW w:type="dxa" w:w="1964"/>
            <w:vAlign w:val="center"/>
          </w:tcPr>
          <w:p>
            <w:pPr>
              <w:spacing w:after="20"/>
            </w:pPr>
            <w:r>
              <w:rPr>
                <w:sz w:val="15"/>
              </w:rPr>
              <w:t>Finance approval</w:t>
            </w:r>
          </w:p>
        </w:tc>
        <w:tc>
          <w:tcPr>
            <w:tcW w:type="dxa" w:w="1964"/>
            <w:vAlign w:val="center"/>
          </w:tcPr>
          <w:p>
            <w:pPr>
              <w:spacing w:after="20"/>
            </w:pPr>
            <w:r>
              <w:rPr>
                <w:sz w:val="15"/>
              </w:rPr>
              <w:t>Final approval or documented return/rejection</w:t>
            </w:r>
          </w:p>
        </w:tc>
      </w:tr>
      <w:tr>
        <w:tc>
          <w:tcPr>
            <w:tcW w:type="dxa" w:w="1964"/>
            <w:vAlign w:val="center"/>
          </w:tcPr>
          <w:p>
            <w:pPr>
              <w:spacing w:after="20"/>
            </w:pPr>
            <w:r>
              <w:rPr>
                <w:sz w:val="15"/>
              </w:rPr>
              <w:t>18</w:t>
            </w:r>
          </w:p>
        </w:tc>
        <w:tc>
          <w:tcPr>
            <w:tcW w:type="dxa" w:w="1964"/>
            <w:vAlign w:val="center"/>
          </w:tcPr>
          <w:p>
            <w:pPr>
              <w:spacing w:after="20"/>
            </w:pPr>
            <w:r>
              <w:rPr>
                <w:sz w:val="15"/>
              </w:rPr>
              <w:t>Automatic PO creation</w:t>
            </w:r>
          </w:p>
        </w:tc>
        <w:tc>
          <w:tcPr>
            <w:tcW w:type="dxa" w:w="1964"/>
            <w:vAlign w:val="center"/>
          </w:tcPr>
          <w:p>
            <w:pPr>
              <w:spacing w:after="20"/>
            </w:pPr>
            <w:r>
              <w:rPr>
                <w:sz w:val="15"/>
              </w:rPr>
              <w:t>System</w:t>
            </w:r>
          </w:p>
        </w:tc>
        <w:tc>
          <w:tcPr>
            <w:tcW w:type="dxa" w:w="1964"/>
            <w:vAlign w:val="center"/>
          </w:tcPr>
          <w:p>
            <w:pPr>
              <w:spacing w:after="20"/>
            </w:pPr>
            <w:r>
              <w:rPr>
                <w:sz w:val="15"/>
              </w:rPr>
              <w:t>Final approval</w:t>
            </w:r>
          </w:p>
        </w:tc>
        <w:tc>
          <w:tcPr>
            <w:tcW w:type="dxa" w:w="1964"/>
            <w:vAlign w:val="center"/>
          </w:tcPr>
          <w:p>
            <w:pPr>
              <w:spacing w:after="20"/>
            </w:pPr>
            <w:r>
              <w:rPr>
                <w:sz w:val="15"/>
              </w:rPr>
              <w:t>Unique PO number, frozen approved terms and generated PDF</w:t>
            </w:r>
          </w:p>
        </w:tc>
      </w:tr>
      <w:tr>
        <w:tc>
          <w:tcPr>
            <w:tcW w:type="dxa" w:w="1964"/>
            <w:vAlign w:val="center"/>
          </w:tcPr>
          <w:p>
            <w:pPr>
              <w:spacing w:after="20"/>
            </w:pPr>
            <w:r>
              <w:rPr>
                <w:sz w:val="15"/>
              </w:rPr>
              <w:t>19</w:t>
            </w:r>
          </w:p>
        </w:tc>
        <w:tc>
          <w:tcPr>
            <w:tcW w:type="dxa" w:w="1964"/>
            <w:vAlign w:val="center"/>
          </w:tcPr>
          <w:p>
            <w:pPr>
              <w:spacing w:after="20"/>
            </w:pPr>
            <w:r>
              <w:rPr>
                <w:sz w:val="15"/>
              </w:rPr>
              <w:t>Automatic PO email</w:t>
            </w:r>
          </w:p>
        </w:tc>
        <w:tc>
          <w:tcPr>
            <w:tcW w:type="dxa" w:w="1964"/>
            <w:vAlign w:val="center"/>
          </w:tcPr>
          <w:p>
            <w:pPr>
              <w:spacing w:after="20"/>
            </w:pPr>
            <w:r>
              <w:rPr>
                <w:sz w:val="15"/>
              </w:rPr>
              <w:t>System</w:t>
            </w:r>
          </w:p>
        </w:tc>
        <w:tc>
          <w:tcPr>
            <w:tcW w:type="dxa" w:w="1964"/>
            <w:vAlign w:val="center"/>
          </w:tcPr>
          <w:p>
            <w:pPr>
              <w:spacing w:after="20"/>
            </w:pPr>
            <w:r>
              <w:rPr>
                <w:sz w:val="15"/>
              </w:rPr>
              <w:t>PO validation passed</w:t>
            </w:r>
          </w:p>
        </w:tc>
        <w:tc>
          <w:tcPr>
            <w:tcW w:type="dxa" w:w="1964"/>
            <w:vAlign w:val="center"/>
          </w:tcPr>
          <w:p>
            <w:pPr>
              <w:spacing w:after="20"/>
            </w:pPr>
            <w:r>
              <w:rPr>
                <w:sz w:val="15"/>
              </w:rPr>
              <w:t>Sent PO PDF, message log, delivery-failure tracking</w:t>
            </w:r>
          </w:p>
        </w:tc>
      </w:tr>
      <w:tr>
        <w:tc>
          <w:tcPr>
            <w:tcW w:type="dxa" w:w="1964"/>
            <w:vAlign w:val="center"/>
          </w:tcPr>
          <w:p>
            <w:pPr>
              <w:spacing w:after="20"/>
            </w:pPr>
            <w:r>
              <w:rPr>
                <w:sz w:val="15"/>
              </w:rPr>
              <w:t>20</w:t>
            </w:r>
          </w:p>
        </w:tc>
        <w:tc>
          <w:tcPr>
            <w:tcW w:type="dxa" w:w="1964"/>
            <w:vAlign w:val="center"/>
          </w:tcPr>
          <w:p>
            <w:pPr>
              <w:spacing w:after="20"/>
            </w:pPr>
            <w:r>
              <w:rPr>
                <w:sz w:val="15"/>
              </w:rPr>
              <w:t>Supplier PO acknowledgment</w:t>
            </w:r>
          </w:p>
        </w:tc>
        <w:tc>
          <w:tcPr>
            <w:tcW w:type="dxa" w:w="1964"/>
            <w:vAlign w:val="center"/>
          </w:tcPr>
          <w:p>
            <w:pPr>
              <w:spacing w:after="20"/>
            </w:pPr>
            <w:r>
              <w:rPr>
                <w:sz w:val="15"/>
              </w:rPr>
              <w:t>Supplier</w:t>
            </w:r>
          </w:p>
        </w:tc>
        <w:tc>
          <w:tcPr>
            <w:tcW w:type="dxa" w:w="1964"/>
            <w:vAlign w:val="center"/>
          </w:tcPr>
          <w:p>
            <w:pPr>
              <w:spacing w:after="20"/>
            </w:pPr>
            <w:r>
              <w:rPr>
                <w:sz w:val="15"/>
              </w:rPr>
              <w:t>PO email/secure link</w:t>
            </w:r>
          </w:p>
        </w:tc>
        <w:tc>
          <w:tcPr>
            <w:tcW w:type="dxa" w:w="1964"/>
            <w:vAlign w:val="center"/>
          </w:tcPr>
          <w:p>
            <w:pPr>
              <w:spacing w:after="20"/>
            </w:pPr>
            <w:r>
              <w:rPr>
                <w:sz w:val="15"/>
              </w:rPr>
              <w:t>Accepted or disputed PO with timestamp</w:t>
            </w:r>
          </w:p>
        </w:tc>
      </w:tr>
      <w:tr>
        <w:tc>
          <w:tcPr>
            <w:tcW w:type="dxa" w:w="1964"/>
            <w:vAlign w:val="center"/>
          </w:tcPr>
          <w:p>
            <w:pPr>
              <w:spacing w:after="20"/>
            </w:pPr>
            <w:r>
              <w:rPr>
                <w:sz w:val="15"/>
              </w:rPr>
              <w:t>21</w:t>
            </w:r>
          </w:p>
        </w:tc>
        <w:tc>
          <w:tcPr>
            <w:tcW w:type="dxa" w:w="1964"/>
            <w:vAlign w:val="center"/>
          </w:tcPr>
          <w:p>
            <w:pPr>
              <w:spacing w:after="20"/>
            </w:pPr>
            <w:r>
              <w:rPr>
                <w:sz w:val="15"/>
              </w:rPr>
              <w:t>PI receipt and verification</w:t>
            </w:r>
          </w:p>
        </w:tc>
        <w:tc>
          <w:tcPr>
            <w:tcW w:type="dxa" w:w="1964"/>
            <w:vAlign w:val="center"/>
          </w:tcPr>
          <w:p>
            <w:pPr>
              <w:spacing w:after="20"/>
            </w:pPr>
            <w:r>
              <w:rPr>
                <w:sz w:val="15"/>
              </w:rPr>
              <w:t>Procurement / Import / Finance</w:t>
            </w:r>
          </w:p>
        </w:tc>
        <w:tc>
          <w:tcPr>
            <w:tcW w:type="dxa" w:w="1964"/>
            <w:vAlign w:val="center"/>
          </w:tcPr>
          <w:p>
            <w:pPr>
              <w:spacing w:after="20"/>
            </w:pPr>
            <w:r>
              <w:rPr>
                <w:sz w:val="15"/>
              </w:rPr>
              <w:t>Supplier PO acceptance</w:t>
            </w:r>
          </w:p>
        </w:tc>
        <w:tc>
          <w:tcPr>
            <w:tcW w:type="dxa" w:w="1964"/>
            <w:vAlign w:val="center"/>
          </w:tcPr>
          <w:p>
            <w:pPr>
              <w:spacing w:after="20"/>
            </w:pPr>
            <w:r>
              <w:rPr>
                <w:sz w:val="15"/>
              </w:rPr>
              <w:t>PO–PI comparison; resolved exceptions</w:t>
            </w:r>
          </w:p>
        </w:tc>
      </w:tr>
      <w:tr>
        <w:tc>
          <w:tcPr>
            <w:tcW w:type="dxa" w:w="1964"/>
            <w:vAlign w:val="center"/>
          </w:tcPr>
          <w:p>
            <w:pPr>
              <w:spacing w:after="20"/>
            </w:pPr>
            <w:r>
              <w:rPr>
                <w:sz w:val="15"/>
              </w:rPr>
              <w:t>22</w:t>
            </w:r>
          </w:p>
        </w:tc>
        <w:tc>
          <w:tcPr>
            <w:tcW w:type="dxa" w:w="1964"/>
            <w:vAlign w:val="center"/>
          </w:tcPr>
          <w:p>
            <w:pPr>
              <w:spacing w:after="20"/>
            </w:pPr>
            <w:r>
              <w:rPr>
                <w:sz w:val="15"/>
              </w:rPr>
              <w:t>Import, shipment and GRN</w:t>
            </w:r>
          </w:p>
        </w:tc>
        <w:tc>
          <w:tcPr>
            <w:tcW w:type="dxa" w:w="1964"/>
            <w:vAlign w:val="center"/>
          </w:tcPr>
          <w:p>
            <w:pPr>
              <w:spacing w:after="20"/>
            </w:pPr>
            <w:r>
              <w:rPr>
                <w:sz w:val="15"/>
              </w:rPr>
              <w:t>Import / Store / QA</w:t>
            </w:r>
          </w:p>
        </w:tc>
        <w:tc>
          <w:tcPr>
            <w:tcW w:type="dxa" w:w="1964"/>
            <w:vAlign w:val="center"/>
          </w:tcPr>
          <w:p>
            <w:pPr>
              <w:spacing w:after="20"/>
            </w:pPr>
            <w:r>
              <w:rPr>
                <w:sz w:val="15"/>
              </w:rPr>
              <w:t>Verified PI and shipping</w:t>
            </w:r>
          </w:p>
        </w:tc>
        <w:tc>
          <w:tcPr>
            <w:tcW w:type="dxa" w:w="1964"/>
            <w:vAlign w:val="center"/>
          </w:tcPr>
          <w:p>
            <w:pPr>
              <w:spacing w:after="20"/>
            </w:pPr>
            <w:r>
              <w:rPr>
                <w:sz w:val="15"/>
              </w:rPr>
              <w:t>Shipping/customs records, GRN, receiving quality outcome</w:t>
            </w:r>
          </w:p>
        </w:tc>
      </w:tr>
      <w:tr>
        <w:tc>
          <w:tcPr>
            <w:tcW w:type="dxa" w:w="1964"/>
            <w:vAlign w:val="center"/>
          </w:tcPr>
          <w:p>
            <w:pPr>
              <w:spacing w:after="20"/>
            </w:pPr>
            <w:r>
              <w:rPr>
                <w:sz w:val="15"/>
              </w:rPr>
              <w:t>23</w:t>
            </w:r>
          </w:p>
        </w:tc>
        <w:tc>
          <w:tcPr>
            <w:tcW w:type="dxa" w:w="1964"/>
            <w:vAlign w:val="center"/>
          </w:tcPr>
          <w:p>
            <w:pPr>
              <w:spacing w:after="20"/>
            </w:pPr>
            <w:r>
              <w:rPr>
                <w:sz w:val="15"/>
              </w:rPr>
              <w:t>Invoice matching and settlement</w:t>
            </w:r>
          </w:p>
        </w:tc>
        <w:tc>
          <w:tcPr>
            <w:tcW w:type="dxa" w:w="1964"/>
            <w:vAlign w:val="center"/>
          </w:tcPr>
          <w:p>
            <w:pPr>
              <w:spacing w:after="20"/>
            </w:pPr>
            <w:r>
              <w:rPr>
                <w:sz w:val="15"/>
              </w:rPr>
              <w:t>Finance &amp; Accounts</w:t>
            </w:r>
          </w:p>
        </w:tc>
        <w:tc>
          <w:tcPr>
            <w:tcW w:type="dxa" w:w="1964"/>
            <w:vAlign w:val="center"/>
          </w:tcPr>
          <w:p>
            <w:pPr>
              <w:spacing w:after="20"/>
            </w:pPr>
            <w:r>
              <w:rPr>
                <w:sz w:val="15"/>
              </w:rPr>
              <w:t>GRN + vendor invoice</w:t>
            </w:r>
          </w:p>
        </w:tc>
        <w:tc>
          <w:tcPr>
            <w:tcW w:type="dxa" w:w="1964"/>
            <w:vAlign w:val="center"/>
          </w:tcPr>
          <w:p>
            <w:pPr>
              <w:spacing w:after="20"/>
            </w:pPr>
            <w:r>
              <w:rPr>
                <w:sz w:val="15"/>
              </w:rPr>
              <w:t>Controlled payment, reconciliation and case closure</w:t>
            </w:r>
          </w:p>
        </w:tc>
      </w:tr>
    </w:tbl>
    <w:p>
      <w:pPr>
        <w:spacing w:after="20"/>
      </w:pPr>
    </w:p>
    <w:p>
      <w:pPr>
        <w:pStyle w:val="Heading3"/>
      </w:pPr>
      <w:r>
        <w:t>Common status rules</w:t>
      </w:r>
    </w:p>
    <w:p>
      <w:pPr>
        <w:pStyle w:val="ListBullet"/>
      </w:pPr>
      <w:r>
        <w:rPr>
          <w:b/>
          <w:i w:val="0"/>
        </w:rPr>
        <w:t>Return</w:t>
      </w:r>
      <w:r>
        <w:t xml:space="preserve"> sends the file to a named prior owner with a mandatory reason; returned items never appear as approved.</w:t>
      </w:r>
    </w:p>
    <w:p>
      <w:pPr>
        <w:pStyle w:val="ListBullet"/>
      </w:pPr>
      <w:r>
        <w:rPr>
          <w:b/>
          <w:i w:val="0"/>
        </w:rPr>
        <w:t>Reject</w:t>
      </w:r>
      <w:r>
        <w:t xml:space="preserve"> ends the current approval attempt; resubmission requires a revision or newly approved exception.</w:t>
      </w:r>
    </w:p>
    <w:p>
      <w:pPr>
        <w:pStyle w:val="ListBullet"/>
      </w:pPr>
      <w:r>
        <w:rPr>
          <w:b/>
          <w:i w:val="0"/>
        </w:rPr>
        <w:t>Cancel</w:t>
      </w:r>
      <w:r>
        <w:t xml:space="preserve"> is a separately authorized end state with reason and audit history.</w:t>
      </w:r>
    </w:p>
    <w:p>
      <w:pPr>
        <w:pStyle w:val="ListBullet"/>
      </w:pPr>
      <w:r>
        <w:rPr>
          <w:b/>
          <w:i w:val="0"/>
        </w:rPr>
        <w:t>Change after approval</w:t>
      </w:r>
      <w:r>
        <w:t xml:space="preserve"> triggers a versioned change request and re-approval per authority matrix, never an invisible overwrite.</w:t>
      </w:r>
    </w:p>
    <w:p/>
    <w:p>
      <w:pPr>
        <w:pStyle w:val="Heading2"/>
      </w:pPr>
      <w:r>
        <w:t>4. Detailed process instructions and validation gates</w:t>
      </w:r>
    </w:p>
    <w:p>
      <w:pPr>
        <w:pStyle w:val="Heading3"/>
      </w:pPr>
      <w:r>
        <w:t>01 — Requisition creation</w:t>
      </w:r>
    </w:p>
    <w:p>
      <w:r>
        <w:rPr>
          <w:b/>
          <w:i w:val="0"/>
        </w:rPr>
        <w:t>Actions:</w:t>
      </w:r>
      <w:r>
        <w:t xml:space="preserve"> Marketing or Store selects RM item/specification (or proposes a new item), requested quantity/UOM, desired delivery date, delivery location, business justification, intended use, urgency and attachments.</w:t>
      </w:r>
      <w:r>
        <w:br/>
      </w:r>
      <w:r>
        <w:rPr>
          <w:b/>
          <w:i w:val="0"/>
        </w:rPr>
        <w:t>Checks:</w:t>
      </w:r>
      <w:r>
        <w:t xml:space="preserve"> mandatory-field completeness; user authorization; active item master; duplication warnings; available stock and pending PO visibility.</w:t>
      </w:r>
      <w:r>
        <w:br/>
      </w:r>
      <w:r>
        <w:rPr>
          <w:b/>
          <w:i w:val="0"/>
        </w:rPr>
        <w:t>Output:</w:t>
      </w:r>
      <w:r>
        <w:t xml:space="preserve"> </w:t>
      </w:r>
      <w:r>
        <w:t>PR-YYYY-NNNNN</w:t>
      </w:r>
      <w:r>
        <w:t xml:space="preserve">; status </w:t>
      </w:r>
      <w:r>
        <w:t>Submitted</w:t>
      </w:r>
      <w:r>
        <w:t>.</w:t>
      </w:r>
      <w:r>
        <w:br/>
      </w:r>
      <w:r>
        <w:rPr>
          <w:b/>
          <w:i w:val="0"/>
        </w:rPr>
        <w:t>Exception:</w:t>
      </w:r>
      <w:r>
        <w:t xml:space="preserve"> missing specifications return to originator; urgency flag does not bypass approval.</w:t>
      </w:r>
    </w:p>
    <w:p>
      <w:pPr>
        <w:pStyle w:val="Heading3"/>
      </w:pPr>
      <w:r>
        <w:t>02 — Consolidation</w:t>
      </w:r>
    </w:p>
    <w:p>
      <w:r>
        <w:rPr>
          <w:b/>
          <w:i w:val="0"/>
        </w:rPr>
        <w:t>Actions:</w:t>
      </w:r>
      <w:r>
        <w:t xml:space="preserve"> Procurement views open PRs together and groups compatible demand by item, technical specification, shipment window and delivery location; optionally splits a PR across RFQs.</w:t>
      </w:r>
      <w:r>
        <w:br/>
      </w:r>
      <w:r>
        <w:rPr>
          <w:b/>
          <w:i w:val="0"/>
        </w:rPr>
        <w:t>Checks:</w:t>
      </w:r>
      <w:r>
        <w:t xml:space="preserve"> preserve original PR-to-line mapping and quantities; prevent double allocation; separate incompatible specifications.</w:t>
      </w:r>
      <w:r>
        <w:br/>
      </w:r>
      <w:r>
        <w:rPr>
          <w:b/>
          <w:i w:val="0"/>
        </w:rPr>
        <w:t>Output:</w:t>
      </w:r>
      <w:r>
        <w:t xml:space="preserve"> consolidated demand batch with traceability to all origin PRs.</w:t>
      </w:r>
    </w:p>
    <w:p>
      <w:pPr>
        <w:pStyle w:val="Heading3"/>
      </w:pPr>
      <w:r>
        <w:t>03 — Procurement verification</w:t>
      </w:r>
    </w:p>
    <w:p>
      <w:r>
        <w:rPr>
          <w:b/>
          <w:i w:val="0"/>
        </w:rPr>
        <w:t>Actions:</w:t>
      </w:r>
      <w:r>
        <w:t xml:space="preserve"> validate specifications, quantity, stock, open orders, supplier feasibility, intended procurement route and requirement date.</w:t>
      </w:r>
      <w:r>
        <w:br/>
      </w:r>
      <w:r>
        <w:rPr>
          <w:b/>
          <w:i w:val="0"/>
        </w:rPr>
        <w:t>Decision:</w:t>
      </w:r>
      <w:r>
        <w:t xml:space="preserve"> </w:t>
      </w:r>
      <w:r>
        <w:t>Validated</w:t>
      </w:r>
      <w:r>
        <w:t xml:space="preserve"> or </w:t>
      </w:r>
      <w:r>
        <w:t>Returned</w:t>
      </w:r>
      <w:r>
        <w:t xml:space="preserve"> with reason.</w:t>
      </w:r>
      <w:r>
        <w:br/>
      </w:r>
      <w:r>
        <w:rPr>
          <w:b/>
          <w:i w:val="0"/>
        </w:rPr>
        <w:t>Control:</w:t>
      </w:r>
      <w:r>
        <w:t xml:space="preserve"> reviewer should not silently alter approved technical specifications.</w:t>
      </w:r>
    </w:p>
    <w:p>
      <w:pPr>
        <w:pStyle w:val="Heading3"/>
      </w:pPr>
      <w:r>
        <w:t>04 — RFQ preparation</w:t>
      </w:r>
    </w:p>
    <w:p>
      <w:r>
        <w:rPr>
          <w:b/>
          <w:i w:val="0"/>
        </w:rPr>
        <w:t>Actions:</w:t>
      </w:r>
      <w:r>
        <w:t xml:space="preserve"> define line items, required specs, bid currency/unit, target quantity, delivery location, quality documents, sampling requirement, bid cutoff and quotation conditions.</w:t>
      </w:r>
      <w:r>
        <w:br/>
      </w:r>
      <w:r>
        <w:rPr>
          <w:b/>
          <w:i w:val="0"/>
        </w:rPr>
        <w:t>Output:</w:t>
      </w:r>
      <w:r>
        <w:t xml:space="preserve"> </w:t>
      </w:r>
      <w:r>
        <w:t>RFQ-YYYY-NNNNN</w:t>
      </w:r>
      <w:r>
        <w:t xml:space="preserve">, version </w:t>
      </w:r>
      <w:r>
        <w:t>V1</w:t>
      </w:r>
      <w:r>
        <w:t xml:space="preserve">, status </w:t>
      </w:r>
      <w:r>
        <w:t>Ready to Publish</w:t>
      </w:r>
      <w:r>
        <w:t>.</w:t>
      </w:r>
      <w:r>
        <w:br/>
      </w:r>
      <w:r>
        <w:rPr>
          <w:b/>
          <w:i w:val="0"/>
        </w:rPr>
        <w:t>Control:</w:t>
      </w:r>
      <w:r>
        <w:t xml:space="preserve"> change after publish issues an RFQ revision and notifies relevant suppliers.</w:t>
      </w:r>
    </w:p>
    <w:p>
      <w:pPr>
        <w:pStyle w:val="Heading3"/>
      </w:pPr>
      <w:r>
        <w:t>05 — Supplier shortlist</w:t>
      </w:r>
    </w:p>
    <w:p>
      <w:r>
        <w:rPr>
          <w:b/>
          <w:i w:val="0"/>
        </w:rPr>
        <w:t>Actions:</w:t>
      </w:r>
      <w:r>
        <w:t xml:space="preserve"> choose active and eligible manufacturers/traders, vendor-country calendar and verified email contacts; document single-source situations.</w:t>
      </w:r>
      <w:r>
        <w:br/>
      </w:r>
      <w:r>
        <w:rPr>
          <w:b/>
          <w:i w:val="0"/>
        </w:rPr>
        <w:t>Checks:</w:t>
      </w:r>
      <w:r>
        <w:t xml:space="preserve"> tax/business registration where required, sanction/compliance checks under company policy, previous performance and supplier status.</w:t>
      </w:r>
      <w:r>
        <w:br/>
      </w:r>
      <w:r>
        <w:rPr>
          <w:b/>
          <w:i w:val="0"/>
        </w:rPr>
        <w:t>Output:</w:t>
      </w:r>
      <w:r>
        <w:t xml:space="preserve"> invited supplier list with invitation eligibility and rationale.</w:t>
      </w:r>
    </w:p>
    <w:p>
      <w:pPr>
        <w:pStyle w:val="Heading3"/>
      </w:pPr>
      <w:r>
        <w:t>06 — Per-supplier secure URL generation</w:t>
      </w:r>
    </w:p>
    <w:p>
      <w:r>
        <w:rPr>
          <w:b/>
          <w:i w:val="0"/>
        </w:rPr>
        <w:t>Actions:</w:t>
      </w:r>
      <w:r>
        <w:t xml:space="preserve"> create a random, high-entropy, supplier-specific token bound to RFQ/version/vendor; store a hash server-side; provide individual access to only that vendor's RFQ.</w:t>
      </w:r>
      <w:r>
        <w:br/>
      </w:r>
      <w:r>
        <w:rPr>
          <w:b/>
          <w:i w:val="0"/>
        </w:rPr>
        <w:t>Controls:</w:t>
      </w:r>
      <w:r>
        <w:t xml:space="preserve"> HTTPS, token expiry, rate limits, access logs, revocation, no competitor visibility, and optional one-time email verification/OTP. Never include sensitive prices in URL parameters.</w:t>
      </w:r>
      <w:r>
        <w:br/>
      </w:r>
      <w:r>
        <w:rPr>
          <w:b/>
          <w:i w:val="0"/>
        </w:rPr>
        <w:t>Output:</w:t>
      </w:r>
      <w:r>
        <w:t xml:space="preserve"> expiring submission link per recipient.</w:t>
      </w:r>
    </w:p>
    <w:p>
      <w:pPr>
        <w:pStyle w:val="Heading3"/>
      </w:pPr>
      <w:r>
        <w:t>07 — Automated invitation</w:t>
      </w:r>
    </w:p>
    <w:p>
      <w:r>
        <w:rPr>
          <w:b/>
          <w:i w:val="0"/>
        </w:rPr>
        <w:t>Actions:</w:t>
      </w:r>
      <w:r>
        <w:t xml:space="preserve"> send branded invitation with subject, RFQ details, due time in supplier timezone, instructions and secure link.</w:t>
      </w:r>
      <w:r>
        <w:br/>
      </w:r>
      <w:r>
        <w:rPr>
          <w:b/>
          <w:i w:val="0"/>
        </w:rPr>
        <w:t>Checks:</w:t>
      </w:r>
      <w:r>
        <w:t xml:space="preserve"> supplier email validation, queued/sent/failed status, retry with idempotency (avoid duplicate invitations).</w:t>
      </w:r>
      <w:r>
        <w:br/>
      </w:r>
      <w:r>
        <w:rPr>
          <w:b/>
          <w:i w:val="0"/>
        </w:rPr>
        <w:t>Output:</w:t>
      </w:r>
      <w:r>
        <w:t xml:space="preserve"> transmission log and copy of email.</w:t>
      </w:r>
    </w:p>
    <w:p>
      <w:pPr>
        <w:pStyle w:val="Heading3"/>
      </w:pPr>
      <w:r>
        <w:t>08 — Supplier RFQ submission</w:t>
      </w:r>
    </w:p>
    <w:p>
      <w:r>
        <w:rPr>
          <w:b/>
          <w:i w:val="0"/>
        </w:rPr>
        <w:t>Actions:</w:t>
      </w:r>
      <w:r>
        <w:t xml:space="preserve"> supplier confirms company/contact information, enters line-wise offer and technical details, uploads documents and samples schedule, saves draft, then signs declaration and submits.</w:t>
      </w:r>
      <w:r>
        <w:br/>
      </w:r>
      <w:r>
        <w:rPr>
          <w:b/>
          <w:i w:val="0"/>
        </w:rPr>
        <w:t>Checks:</w:t>
      </w:r>
      <w:r>
        <w:t xml:space="preserve"> required fields, numeric ranges and units, allowed document types, antivirus scanning, supplier-country/timezone, version and RFQ deadline.</w:t>
      </w:r>
      <w:r>
        <w:br/>
      </w:r>
      <w:r>
        <w:rPr>
          <w:b/>
          <w:i w:val="0"/>
        </w:rPr>
        <w:t>Output:</w:t>
      </w:r>
      <w:r>
        <w:t xml:space="preserve"> immutable submitted quotation revision, </w:t>
      </w:r>
      <w:r>
        <w:t>QUO-YYYY-NNNNN</w:t>
      </w:r>
      <w:r>
        <w:t>. Drafts are not evaluated.</w:t>
      </w:r>
    </w:p>
    <w:p>
      <w:pPr>
        <w:pStyle w:val="Heading3"/>
      </w:pPr>
      <w:r>
        <w:t>09 — Deadline control</w:t>
      </w:r>
    </w:p>
    <w:p>
      <w:r>
        <w:rPr>
          <w:b/>
          <w:i w:val="0"/>
        </w:rPr>
        <w:t>Actions:</w:t>
      </w:r>
      <w:r>
        <w:t xml:space="preserve"> check server receipt timestamp against calculated deadline; send reminder; disable final submission at cutoff unless extension is approved.</w:t>
      </w:r>
      <w:r>
        <w:br/>
      </w:r>
      <w:r>
        <w:rPr>
          <w:b/>
          <w:i w:val="0"/>
        </w:rPr>
        <w:t>Output:</w:t>
      </w:r>
      <w:r>
        <w:t xml:space="preserve"> </w:t>
      </w:r>
      <w:r>
        <w:t>Submitted on Time</w:t>
      </w:r>
      <w:r>
        <w:t xml:space="preserve">, </w:t>
      </w:r>
      <w:r>
        <w:t>Not Submitted / Expired</w:t>
      </w:r>
      <w:r>
        <w:t xml:space="preserve">, or </w:t>
      </w:r>
      <w:r>
        <w:t>Extended</w:t>
      </w:r>
      <w:r>
        <w:t>.</w:t>
      </w:r>
      <w:r>
        <w:br/>
      </w:r>
      <w:r>
        <w:rPr>
          <w:b/>
          <w:i w:val="0"/>
        </w:rPr>
        <w:t>Control:</w:t>
      </w:r>
      <w:r>
        <w:t xml:space="preserve"> authoritative server time, not browser/device clock; extension reason, approver and notifications are recorded.</w:t>
      </w:r>
    </w:p>
    <w:p>
      <w:pPr>
        <w:pStyle w:val="Heading3"/>
      </w:pPr>
      <w:r>
        <w:t>10 — Comparative statement</w:t>
      </w:r>
    </w:p>
    <w:p>
      <w:r>
        <w:rPr>
          <w:b/>
          <w:i w:val="0"/>
        </w:rPr>
        <w:t>Actions:</w:t>
      </w:r>
      <w:r>
        <w:t xml:space="preserve"> compare supplier quotes line by line, normalize currency and UOM using dated controlled FX assumptions, compare Incoterms on a defined landed-cost basis, show technical compliance and blanks.</w:t>
      </w:r>
      <w:r>
        <w:br/>
      </w:r>
      <w:r>
        <w:rPr>
          <w:b/>
          <w:i w:val="0"/>
        </w:rPr>
        <w:t>Control:</w:t>
      </w:r>
      <w:r>
        <w:t xml:space="preserve"> lowest unit price is </w:t>
      </w:r>
      <w:r>
        <w:rPr>
          <w:b w:val="0"/>
          <w:i/>
        </w:rPr>
        <w:t>not</w:t>
      </w:r>
      <w:r>
        <w:t xml:space="preserve"> automatically the lowest total landed cost; disclose estimations separately from supplier-confirmed figures.</w:t>
      </w:r>
      <w:r>
        <w:br/>
      </w:r>
      <w:r>
        <w:rPr>
          <w:b/>
          <w:i w:val="0"/>
        </w:rPr>
        <w:t>Output:</w:t>
      </w:r>
      <w:r>
        <w:t xml:space="preserve"> versioned CS, supplier comparison and shortlist for testing/negotiation.</w:t>
      </w:r>
    </w:p>
    <w:p>
      <w:pPr>
        <w:pStyle w:val="Heading3"/>
      </w:pPr>
      <w:r>
        <w:t>11 — Sample collection and testing</w:t>
      </w:r>
    </w:p>
    <w:p>
      <w:r>
        <w:rPr>
          <w:b/>
          <w:i w:val="0"/>
        </w:rPr>
        <w:t>Actions:</w:t>
      </w:r>
      <w:r>
        <w:t xml:space="preserve"> request and track samples, courier/AWB, receipt, lab test plan, controlled result uploads, appearance, fusing/bond strength and other item-specific tests.</w:t>
      </w:r>
      <w:r>
        <w:br/>
      </w:r>
      <w:r>
        <w:rPr>
          <w:b/>
          <w:i w:val="0"/>
        </w:rPr>
        <w:t>Output:</w:t>
      </w:r>
      <w:r>
        <w:t xml:space="preserve"> sample/test ID, test result and supporting report.</w:t>
      </w:r>
      <w:r>
        <w:br/>
      </w:r>
      <w:r>
        <w:rPr>
          <w:b/>
          <w:i w:val="0"/>
        </w:rPr>
        <w:t>Exception:</w:t>
      </w:r>
      <w:r>
        <w:t xml:space="preserve"> approved sample waiver or alternate evidence must have its own authorization.</w:t>
      </w:r>
    </w:p>
    <w:p>
      <w:pPr>
        <w:pStyle w:val="Heading3"/>
      </w:pPr>
      <w:r>
        <w:t>12 — Technical acceptance</w:t>
      </w:r>
    </w:p>
    <w:p>
      <w:r>
        <w:rPr>
          <w:b/>
          <w:i w:val="0"/>
        </w:rPr>
        <w:t>Actions:</w:t>
      </w:r>
      <w:r>
        <w:t xml:space="preserve"> QA/Marketing determines </w:t>
      </w:r>
      <w:r>
        <w:t>Pass</w:t>
      </w:r>
      <w:r>
        <w:t xml:space="preserve">, </w:t>
      </w:r>
      <w:r>
        <w:t>Conditional Pass</w:t>
      </w:r>
      <w:r>
        <w:t xml:space="preserve">, </w:t>
      </w:r>
      <w:r>
        <w:t>Fail</w:t>
      </w:r>
      <w:r>
        <w:t xml:space="preserve"> or </w:t>
      </w:r>
      <w:r>
        <w:t>Waived by Approval</w:t>
      </w:r>
      <w:r>
        <w:t xml:space="preserve"> against documented tolerance/specification.</w:t>
      </w:r>
      <w:r>
        <w:br/>
      </w:r>
      <w:r>
        <w:rPr>
          <w:b/>
          <w:i w:val="0"/>
        </w:rPr>
        <w:t>Control:</w:t>
      </w:r>
      <w:r>
        <w:t xml:space="preserve"> conditional pass cannot be treated as a full pass without an approved deviation.</w:t>
      </w:r>
      <w:r>
        <w:br/>
      </w:r>
      <w:r>
        <w:rPr>
          <w:b/>
          <w:i w:val="0"/>
        </w:rPr>
        <w:t>Output:</w:t>
      </w:r>
      <w:r>
        <w:t xml:space="preserve"> technical clearance for negotiation/award; rejected offers remain archived.</w:t>
      </w:r>
    </w:p>
    <w:p>
      <w:pPr>
        <w:pStyle w:val="Heading3"/>
      </w:pPr>
      <w:r>
        <w:t>13 — Negotiation</w:t>
      </w:r>
    </w:p>
    <w:p>
      <w:r>
        <w:rPr>
          <w:b/>
          <w:i w:val="0"/>
        </w:rPr>
        <w:t>Actions:</w:t>
      </w:r>
      <w:r>
        <w:t xml:space="preserve"> track negotiation rounds for price, discounts, MOQ, payment, shipment, packing, Incoterms and quality undertakings; request formal revised quotation where material.</w:t>
      </w:r>
      <w:r>
        <w:br/>
      </w:r>
      <w:r>
        <w:rPr>
          <w:b/>
          <w:i w:val="0"/>
        </w:rPr>
        <w:t>Controls:</w:t>
      </w:r>
      <w:r>
        <w:t xml:space="preserve"> immutable original quotation, revision numbers, maker/checker rights and audit log.</w:t>
      </w:r>
      <w:r>
        <w:br/>
      </w:r>
      <w:r>
        <w:rPr>
          <w:b/>
          <w:i w:val="0"/>
        </w:rPr>
        <w:t>Output:</w:t>
      </w:r>
      <w:r>
        <w:t xml:space="preserve"> agreed commercial terms, without discarding old quote versions.</w:t>
      </w:r>
    </w:p>
    <w:p>
      <w:pPr>
        <w:pStyle w:val="Heading3"/>
      </w:pPr>
      <w:r>
        <w:t>14 — Supplier recommendation</w:t>
      </w:r>
    </w:p>
    <w:p>
      <w:r>
        <w:rPr>
          <w:b/>
          <w:i w:val="0"/>
        </w:rPr>
        <w:t>Actions:</w:t>
      </w:r>
      <w:r>
        <w:t xml:space="preserve"> Procurement prepares final CS, technical summary, total estimated landed cost, risk notes, negotiation savings and recommended vendor with written rationale.</w:t>
      </w:r>
      <w:r>
        <w:br/>
      </w:r>
      <w:r>
        <w:rPr>
          <w:b/>
          <w:i w:val="0"/>
        </w:rPr>
        <w:t>Output:</w:t>
      </w:r>
      <w:r>
        <w:t xml:space="preserve"> supplier award recommendation package for sequential acknowledgment/approval.</w:t>
      </w:r>
    </w:p>
    <w:p>
      <w:pPr>
        <w:pStyle w:val="Heading3"/>
      </w:pPr>
      <w:r>
        <w:t>15 — Marketing ACK</w:t>
      </w:r>
    </w:p>
    <w:p>
      <w:r>
        <w:rPr>
          <w:b/>
          <w:i w:val="0"/>
        </w:rPr>
        <w:t>Review:</w:t>
      </w:r>
      <w:r>
        <w:t xml:space="preserve"> fit to requested materials, operational need, quantities, approved sample/QA outcome and delivery suitability.</w:t>
      </w:r>
      <w:r>
        <w:br/>
      </w:r>
      <w:r>
        <w:rPr>
          <w:b/>
          <w:i w:val="0"/>
        </w:rPr>
        <w:t>Action:</w:t>
      </w:r>
      <w:r>
        <w:t xml:space="preserve"> </w:t>
      </w:r>
      <w:r>
        <w:t>Acknowledge</w:t>
      </w:r>
      <w:r>
        <w:t xml:space="preserve"> or </w:t>
      </w:r>
      <w:r>
        <w:t>Return for Clarification</w:t>
      </w:r>
      <w:r>
        <w:t>; acknowledgment is not the final financial approval.</w:t>
      </w:r>
    </w:p>
    <w:p>
      <w:pPr>
        <w:pStyle w:val="Heading3"/>
      </w:pPr>
      <w:r>
        <w:t>16 — Finance approval</w:t>
      </w:r>
    </w:p>
    <w:p>
      <w:r>
        <w:rPr>
          <w:b/>
          <w:i w:val="0"/>
        </w:rPr>
        <w:t>Review:</w:t>
      </w:r>
      <w:r>
        <w:t xml:space="preserve"> budget availability, cash requirements, FX exposure, duties/freight assumptions, bank charges, payment terms, advance/LC exposure, landed cost and supporting justification.</w:t>
      </w:r>
      <w:r>
        <w:br/>
      </w:r>
      <w:r>
        <w:rPr>
          <w:b/>
          <w:i w:val="0"/>
        </w:rPr>
        <w:t>Action:</w:t>
      </w:r>
      <w:r>
        <w:t xml:space="preserve"> </w:t>
      </w:r>
      <w:r>
        <w:t>Approve</w:t>
      </w:r>
      <w:r>
        <w:t xml:space="preserve">, </w:t>
      </w:r>
      <w:r>
        <w:t>Return</w:t>
      </w:r>
      <w:r>
        <w:t xml:space="preserve"> or </w:t>
      </w:r>
      <w:r>
        <w:t>Reject</w:t>
      </w:r>
      <w:r>
        <w:t>; where approval thresholds apply, system enforces them.</w:t>
      </w:r>
      <w:r>
        <w:br/>
      </w:r>
      <w:r>
        <w:rPr>
          <w:b/>
          <w:i w:val="0"/>
        </w:rPr>
        <w:t>Output:</w:t>
      </w:r>
      <w:r>
        <w:t xml:space="preserve"> timestamped decision and finance comments.</w:t>
      </w:r>
    </w:p>
    <w:p>
      <w:pPr>
        <w:pStyle w:val="Heading3"/>
      </w:pPr>
      <w:r>
        <w:t>17 — ED / final approval</w:t>
      </w:r>
    </w:p>
    <w:p>
      <w:r>
        <w:rPr>
          <w:b/>
          <w:i w:val="0"/>
        </w:rPr>
        <w:t>Review:</w:t>
      </w:r>
      <w:r>
        <w:t xml:space="preserve"> end-to-end award case, supplier recommendation, prior approvals, deviations and material exposures.</w:t>
      </w:r>
      <w:r>
        <w:br/>
      </w:r>
      <w:r>
        <w:rPr>
          <w:b/>
          <w:i w:val="0"/>
        </w:rPr>
        <w:t>Action:</w:t>
      </w:r>
      <w:r>
        <w:t xml:space="preserve"> </w:t>
      </w:r>
      <w:r>
        <w:t>Final Approve</w:t>
      </w:r>
      <w:r>
        <w:t xml:space="preserve">, </w:t>
      </w:r>
      <w:r>
        <w:t>Return</w:t>
      </w:r>
      <w:r>
        <w:t xml:space="preserve"> or </w:t>
      </w:r>
      <w:r>
        <w:t>Reject</w:t>
      </w:r>
      <w:r>
        <w:t>; delegation must be documented.</w:t>
      </w:r>
      <w:r>
        <w:br/>
      </w:r>
      <w:r>
        <w:rPr>
          <w:b/>
          <w:i w:val="0"/>
        </w:rPr>
        <w:t>Control:</w:t>
      </w:r>
      <w:r>
        <w:t xml:space="preserve"> final approval locks supplier, quantity, rates, currency, Incoterms, payment and shipment commitments for PO production.</w:t>
      </w:r>
    </w:p>
    <w:p>
      <w:pPr>
        <w:pStyle w:val="Heading3"/>
      </w:pPr>
      <w:r>
        <w:t>18 — Automated PO generation</w:t>
      </w:r>
    </w:p>
    <w:p>
      <w:r>
        <w:rPr>
          <w:b/>
          <w:i w:val="0"/>
        </w:rPr>
        <w:t>Actions:</w:t>
      </w:r>
      <w:r>
        <w:t xml:space="preserve"> generate </w:t>
      </w:r>
      <w:r>
        <w:t>PO-YYYY-NNNNN</w:t>
      </w:r>
      <w:r>
        <w:t xml:space="preserve"> directly from approved fields, attach terms and technical annexures, create versioned PDF and archive a checksum/snapshot.</w:t>
      </w:r>
      <w:r>
        <w:br/>
      </w:r>
      <w:r>
        <w:rPr>
          <w:b/>
          <w:i w:val="0"/>
        </w:rPr>
        <w:t>Validation:</w:t>
      </w:r>
      <w:r>
        <w:t xml:space="preserve"> vendor email; ship-to/bill-to; UOM/qty; price/currency; tolerance; payment; delivery; Incoterms named location; signatures or approval reference.</w:t>
      </w:r>
      <w:r>
        <w:br/>
      </w:r>
      <w:r>
        <w:rPr>
          <w:b/>
          <w:i w:val="0"/>
        </w:rPr>
        <w:t>Output:</w:t>
      </w:r>
      <w:r>
        <w:t xml:space="preserve"> </w:t>
      </w:r>
      <w:r>
        <w:t>Ready to Dispatch</w:t>
      </w:r>
      <w:r>
        <w:t>; validation failures go to a correction queue rather than sending an incomplete PO.</w:t>
      </w:r>
    </w:p>
    <w:p>
      <w:pPr>
        <w:pStyle w:val="Heading3"/>
      </w:pPr>
      <w:r>
        <w:t>19 — Automated PO distribution</w:t>
      </w:r>
    </w:p>
    <w:p>
      <w:r>
        <w:rPr>
          <w:b/>
          <w:i w:val="0"/>
        </w:rPr>
        <w:t>Actions:</w:t>
      </w:r>
      <w:r>
        <w:t xml:space="preserve"> email PDF and secure acknowledgment URL to selected supplier after validation; log send result; retry technical failures without duplicate PO numbers.</w:t>
      </w:r>
      <w:r>
        <w:br/>
      </w:r>
      <w:r>
        <w:rPr>
          <w:b/>
          <w:i w:val="0"/>
        </w:rPr>
        <w:t>Output:</w:t>
      </w:r>
      <w:r>
        <w:t xml:space="preserve"> </w:t>
      </w:r>
      <w:r>
        <w:t>PO Sent</w:t>
      </w:r>
      <w:r>
        <w:t xml:space="preserve"> with notification ID/time or </w:t>
      </w:r>
      <w:r>
        <w:t>PO Delivery Failed</w:t>
      </w:r>
      <w:r>
        <w:t xml:space="preserve"> alert to Procurement.</w:t>
      </w:r>
    </w:p>
    <w:p>
      <w:pPr>
        <w:pStyle w:val="Heading3"/>
      </w:pPr>
      <w:r>
        <w:t>20 — Supplier acknowledgment</w:t>
      </w:r>
    </w:p>
    <w:p>
      <w:r>
        <w:rPr>
          <w:b/>
          <w:i w:val="0"/>
        </w:rPr>
        <w:t>Actions:</w:t>
      </w:r>
      <w:r>
        <w:t xml:space="preserve"> supplier opens link, accepts PO or flags a specific discrepancy.</w:t>
      </w:r>
      <w:r>
        <w:br/>
      </w:r>
      <w:r>
        <w:rPr>
          <w:b/>
          <w:i w:val="0"/>
        </w:rPr>
        <w:t>Controls:</w:t>
      </w:r>
      <w:r>
        <w:t xml:space="preserve"> supplier cannot modify PO; dispute creates a change-request task, with possible reapproval.</w:t>
      </w:r>
      <w:r>
        <w:br/>
      </w:r>
      <w:r>
        <w:rPr>
          <w:b/>
          <w:i w:val="0"/>
        </w:rPr>
        <w:t>Output:</w:t>
      </w:r>
      <w:r>
        <w:t xml:space="preserve"> </w:t>
      </w:r>
      <w:r>
        <w:t>Accepted</w:t>
      </w:r>
      <w:r>
        <w:t xml:space="preserve">, </w:t>
      </w:r>
      <w:r>
        <w:t>Disputed</w:t>
      </w:r>
      <w:r>
        <w:t xml:space="preserve">, or </w:t>
      </w:r>
      <w:r>
        <w:t>Awaiting Acknowledgment</w:t>
      </w:r>
      <w:r>
        <w:t xml:space="preserve"> with reminder and escalation rules.</w:t>
      </w:r>
    </w:p>
    <w:p>
      <w:pPr>
        <w:pStyle w:val="Heading3"/>
      </w:pPr>
      <w:r>
        <w:t>21 — Proforma Invoice validation</w:t>
      </w:r>
    </w:p>
    <w:p>
      <w:r>
        <w:rPr>
          <w:b/>
          <w:i w:val="0"/>
        </w:rPr>
        <w:t>Actions:</w:t>
      </w:r>
      <w:r>
        <w:t xml:space="preserve"> collect PI from supplier and compare seller/buyer, material/specs, HS code where available, quantity, unit price, total, currency, Incoterms/place, shipping schedule, payment and bank details.</w:t>
      </w:r>
      <w:r>
        <w:br/>
      </w:r>
      <w:r>
        <w:rPr>
          <w:b/>
          <w:i w:val="0"/>
        </w:rPr>
        <w:t>Controls:</w:t>
      </w:r>
      <w:r>
        <w:t xml:space="preserve"> vendor bank details change requires independent verification; differences create documented exceptions; no silent acceptance of mismatched commercial terms.</w:t>
      </w:r>
      <w:r>
        <w:br/>
      </w:r>
      <w:r>
        <w:rPr>
          <w:b/>
          <w:i w:val="0"/>
        </w:rPr>
        <w:t>Output:</w:t>
      </w:r>
      <w:r>
        <w:t xml:space="preserve"> </w:t>
      </w:r>
      <w:r>
        <w:t>PI Matched / Approved for Import Processing</w:t>
      </w:r>
      <w:r>
        <w:t xml:space="preserve"> or correction request.</w:t>
      </w:r>
    </w:p>
    <w:p>
      <w:pPr>
        <w:pStyle w:val="Heading3"/>
      </w:pPr>
      <w:r>
        <w:t>22 — Import, shipment and GRN</w:t>
      </w:r>
    </w:p>
    <w:p>
      <w:r>
        <w:rPr>
          <w:b/>
          <w:i w:val="0"/>
        </w:rPr>
        <w:t>Actions:</w:t>
      </w:r>
      <w:r>
        <w:t xml:space="preserve"> apply applicable bank/LC/TT process, track import authorization and documents, expected/actual shipment, packing list, commercial invoice, transport documents, customs clearance, arrival, quantity received, QA inspection and warehouse posting.</w:t>
      </w:r>
      <w:r>
        <w:br/>
      </w:r>
      <w:r>
        <w:rPr>
          <w:b/>
          <w:i w:val="0"/>
        </w:rPr>
        <w:t>Exceptions:</w:t>
      </w:r>
      <w:r>
        <w:t xml:space="preserve"> partial shipment, late dispatch, short/over receipt, damage, nonconforming goods, insurance claim, supplier debit/credit note.</w:t>
      </w:r>
      <w:r>
        <w:br/>
      </w:r>
      <w:r>
        <w:rPr>
          <w:b/>
          <w:i w:val="0"/>
        </w:rPr>
        <w:t>Output:</w:t>
      </w:r>
      <w:r>
        <w:t xml:space="preserve"> GRN and receiving discrepancy records, updated stock and financial liabilities where appropriate.</w:t>
      </w:r>
    </w:p>
    <w:p>
      <w:pPr>
        <w:pStyle w:val="Heading3"/>
      </w:pPr>
      <w:r>
        <w:t>23 — Invoice match, payment and closure</w:t>
      </w:r>
    </w:p>
    <w:p>
      <w:r>
        <w:rPr>
          <w:b/>
          <w:i w:val="0"/>
        </w:rPr>
        <w:t>Actions:</w:t>
      </w:r>
      <w:r>
        <w:t xml:space="preserve"> match PO, GRN, accepted quantity and invoice; check advances, taxes/duties, deductions and debit notes, obtain payment authorization; process and reconcile bank payment.</w:t>
      </w:r>
      <w:r>
        <w:br/>
      </w:r>
      <w:r>
        <w:rPr>
          <w:b/>
          <w:i w:val="0"/>
        </w:rPr>
        <w:t>Controls:</w:t>
      </w:r>
      <w:r>
        <w:t xml:space="preserve"> three-way match and segregation of duties; prevent duplicate invoice/payment; release only approved/eligible amounts.</w:t>
      </w:r>
      <w:r>
        <w:br/>
      </w:r>
      <w:r>
        <w:rPr>
          <w:b/>
          <w:i w:val="0"/>
        </w:rPr>
        <w:t>Output:</w:t>
      </w:r>
      <w:r>
        <w:t xml:space="preserve"> payment reference, reconciled supplier balance and closed PO when open commitments are resolved.</w:t>
      </w:r>
    </w:p>
    <w:p/>
    <w:p>
      <w:pPr>
        <w:pStyle w:val="Heading2"/>
      </w:pPr>
      <w:r>
        <w:t>5. Supplier portal: comprehensive data dictionary</w:t>
      </w:r>
    </w:p>
    <w:p>
      <w:r>
        <w:rPr>
          <w:b/>
          <w:i w:val="0"/>
        </w:rPr>
        <w:t>Field types:</w:t>
      </w:r>
      <w:r>
        <w:t xml:space="preserve"> </w:t>
      </w:r>
      <w:r>
        <w:t>R</w:t>
      </w:r>
      <w:r>
        <w:t xml:space="preserve"> required for relevant RM category; </w:t>
      </w:r>
      <w:r>
        <w:t>C</w:t>
      </w:r>
      <w:r>
        <w:t xml:space="preserve"> conditional; </w:t>
      </w:r>
      <w:r>
        <w:t>O</w:t>
      </w:r>
      <w:r>
        <w:t xml:space="preserve"> optional. The RFQ issuer configures exact mandatory fields per material family and quotation item. All rates/quantities must be line-specific where multiple materials are quoted.</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shd w:fill="DDF1F1"/>
          </w:tcPr>
          <w:p>
            <w:pPr>
              <w:spacing w:after="20"/>
            </w:pPr>
            <w:r>
              <w:rPr>
                <w:b/>
                <w:sz w:val="16"/>
              </w:rPr>
              <w:t>Section</w:t>
            </w:r>
          </w:p>
        </w:tc>
        <w:tc>
          <w:tcPr>
            <w:tcW w:type="dxa" w:w="2455"/>
            <w:vAlign w:val="center"/>
            <w:shd w:fill="DDF1F1"/>
          </w:tcPr>
          <w:p>
            <w:pPr>
              <w:spacing w:after="20"/>
            </w:pPr>
            <w:r>
              <w:rPr>
                <w:b/>
                <w:sz w:val="16"/>
              </w:rPr>
              <w:t>Field / parameter</w:t>
            </w:r>
          </w:p>
        </w:tc>
        <w:tc>
          <w:tcPr>
            <w:tcW w:type="dxa" w:w="2455"/>
            <w:vAlign w:val="center"/>
            <w:shd w:fill="DDF1F1"/>
          </w:tcPr>
          <w:p>
            <w:pPr>
              <w:spacing w:after="20"/>
            </w:pPr>
            <w:r>
              <w:rPr>
                <w:b/>
                <w:sz w:val="16"/>
              </w:rPr>
              <w:t>Typical type</w:t>
            </w:r>
          </w:p>
        </w:tc>
        <w:tc>
          <w:tcPr>
            <w:tcW w:type="dxa" w:w="2455"/>
            <w:vAlign w:val="center"/>
            <w:shd w:fill="DDF1F1"/>
          </w:tcPr>
          <w:p>
            <w:pPr>
              <w:spacing w:after="20"/>
            </w:pPr>
            <w:r>
              <w:rPr>
                <w:b/>
                <w:sz w:val="16"/>
              </w:rPr>
              <w:t>Rule / purpose</w:t>
            </w:r>
          </w:p>
        </w:tc>
      </w:tr>
      <w:tr>
        <w:tc>
          <w:tcPr>
            <w:tcW w:type="dxa" w:w="2455"/>
            <w:vAlign w:val="center"/>
          </w:tcPr>
          <w:p>
            <w:pPr>
              <w:spacing w:after="20"/>
            </w:pPr>
            <w:r>
              <w:rPr>
                <w:sz w:val="16"/>
              </w:rPr>
              <w:t>Identity</w:t>
            </w:r>
          </w:p>
        </w:tc>
        <w:tc>
          <w:tcPr>
            <w:tcW w:type="dxa" w:w="2455"/>
            <w:vAlign w:val="center"/>
          </w:tcPr>
          <w:p>
            <w:pPr>
              <w:spacing w:after="20"/>
            </w:pPr>
            <w:r>
              <w:rPr>
                <w:sz w:val="16"/>
              </w:rPr>
              <w:t>Legal supplier name, country, registered address</w:t>
            </w:r>
          </w:p>
        </w:tc>
        <w:tc>
          <w:tcPr>
            <w:tcW w:type="dxa" w:w="2455"/>
            <w:vAlign w:val="center"/>
          </w:tcPr>
          <w:p>
            <w:pPr>
              <w:spacing w:after="20"/>
            </w:pPr>
            <w:r>
              <w:rPr>
                <w:sz w:val="16"/>
              </w:rPr>
              <w:t>R</w:t>
            </w:r>
          </w:p>
        </w:tc>
        <w:tc>
          <w:tcPr>
            <w:tcW w:type="dxa" w:w="2455"/>
            <w:vAlign w:val="center"/>
          </w:tcPr>
          <w:p>
            <w:pPr>
              <w:spacing w:after="20"/>
            </w:pPr>
            <w:r>
              <w:rPr>
                <w:sz w:val="16"/>
              </w:rPr>
              <w:t>Pre-filled where vendor master exists; confirm changes</w:t>
            </w:r>
          </w:p>
        </w:tc>
      </w:tr>
      <w:tr>
        <w:tc>
          <w:tcPr>
            <w:tcW w:type="dxa" w:w="2455"/>
            <w:vAlign w:val="center"/>
          </w:tcPr>
          <w:p>
            <w:pPr>
              <w:spacing w:after="20"/>
            </w:pPr>
            <w:r>
              <w:rPr>
                <w:sz w:val="16"/>
              </w:rPr>
              <w:t>Identity</w:t>
            </w:r>
          </w:p>
        </w:tc>
        <w:tc>
          <w:tcPr>
            <w:tcW w:type="dxa" w:w="2455"/>
            <w:vAlign w:val="center"/>
          </w:tcPr>
          <w:p>
            <w:pPr>
              <w:spacing w:after="20"/>
            </w:pPr>
            <w:r>
              <w:rPr>
                <w:sz w:val="16"/>
              </w:rPr>
              <w:t>Manufacturer or trader; actual manufacturing site</w:t>
            </w:r>
          </w:p>
        </w:tc>
        <w:tc>
          <w:tcPr>
            <w:tcW w:type="dxa" w:w="2455"/>
            <w:vAlign w:val="center"/>
          </w:tcPr>
          <w:p>
            <w:pPr>
              <w:spacing w:after="20"/>
            </w:pPr>
            <w:r>
              <w:rPr>
                <w:sz w:val="16"/>
              </w:rPr>
              <w:t>R</w:t>
            </w:r>
          </w:p>
        </w:tc>
        <w:tc>
          <w:tcPr>
            <w:tcW w:type="dxa" w:w="2455"/>
            <w:vAlign w:val="center"/>
          </w:tcPr>
          <w:p>
            <w:pPr>
              <w:spacing w:after="20"/>
            </w:pPr>
            <w:r>
              <w:rPr>
                <w:sz w:val="16"/>
              </w:rPr>
              <w:t>Support source traceability</w:t>
            </w:r>
          </w:p>
        </w:tc>
      </w:tr>
      <w:tr>
        <w:tc>
          <w:tcPr>
            <w:tcW w:type="dxa" w:w="2455"/>
            <w:vAlign w:val="center"/>
          </w:tcPr>
          <w:p>
            <w:pPr>
              <w:spacing w:after="20"/>
            </w:pPr>
            <w:r>
              <w:rPr>
                <w:sz w:val="16"/>
              </w:rPr>
              <w:t>Contact</w:t>
            </w:r>
          </w:p>
        </w:tc>
        <w:tc>
          <w:tcPr>
            <w:tcW w:type="dxa" w:w="2455"/>
            <w:vAlign w:val="center"/>
          </w:tcPr>
          <w:p>
            <w:pPr>
              <w:spacing w:after="20"/>
            </w:pPr>
            <w:r>
              <w:rPr>
                <w:sz w:val="16"/>
              </w:rPr>
              <w:t>Contact name, designation, email, phone</w:t>
            </w:r>
          </w:p>
        </w:tc>
        <w:tc>
          <w:tcPr>
            <w:tcW w:type="dxa" w:w="2455"/>
            <w:vAlign w:val="center"/>
          </w:tcPr>
          <w:p>
            <w:pPr>
              <w:spacing w:after="20"/>
            </w:pPr>
            <w:r>
              <w:rPr>
                <w:sz w:val="16"/>
              </w:rPr>
              <w:t>R</w:t>
            </w:r>
          </w:p>
        </w:tc>
        <w:tc>
          <w:tcPr>
            <w:tcW w:type="dxa" w:w="2455"/>
            <w:vAlign w:val="center"/>
          </w:tcPr>
          <w:p>
            <w:pPr>
              <w:spacing w:after="20"/>
            </w:pPr>
            <w:r>
              <w:rPr>
                <w:sz w:val="16"/>
              </w:rPr>
              <w:t>PO routing / clarification</w:t>
            </w:r>
          </w:p>
        </w:tc>
      </w:tr>
      <w:tr>
        <w:tc>
          <w:tcPr>
            <w:tcW w:type="dxa" w:w="2455"/>
            <w:vAlign w:val="center"/>
          </w:tcPr>
          <w:p>
            <w:pPr>
              <w:spacing w:after="20"/>
            </w:pPr>
            <w:r>
              <w:rPr>
                <w:sz w:val="16"/>
              </w:rPr>
              <w:t>Reference</w:t>
            </w:r>
          </w:p>
        </w:tc>
        <w:tc>
          <w:tcPr>
            <w:tcW w:type="dxa" w:w="2455"/>
            <w:vAlign w:val="center"/>
          </w:tcPr>
          <w:p>
            <w:pPr>
              <w:spacing w:after="20"/>
            </w:pPr>
            <w:r>
              <w:rPr>
                <w:sz w:val="16"/>
              </w:rPr>
              <w:t>Supplier quotation reference and date</w:t>
            </w:r>
          </w:p>
        </w:tc>
        <w:tc>
          <w:tcPr>
            <w:tcW w:type="dxa" w:w="2455"/>
            <w:vAlign w:val="center"/>
          </w:tcPr>
          <w:p>
            <w:pPr>
              <w:spacing w:after="20"/>
            </w:pPr>
            <w:r>
              <w:rPr>
                <w:sz w:val="16"/>
              </w:rPr>
              <w:t>R</w:t>
            </w:r>
          </w:p>
        </w:tc>
        <w:tc>
          <w:tcPr>
            <w:tcW w:type="dxa" w:w="2455"/>
            <w:vAlign w:val="center"/>
          </w:tcPr>
          <w:p>
            <w:pPr>
              <w:spacing w:after="20"/>
            </w:pPr>
            <w:r>
              <w:rPr>
                <w:sz w:val="16"/>
              </w:rPr>
              <w:t>Quote version evidence</w:t>
            </w:r>
          </w:p>
        </w:tc>
      </w:tr>
      <w:tr>
        <w:tc>
          <w:tcPr>
            <w:tcW w:type="dxa" w:w="2455"/>
            <w:vAlign w:val="center"/>
          </w:tcPr>
          <w:p>
            <w:pPr>
              <w:spacing w:after="20"/>
            </w:pPr>
            <w:r>
              <w:rPr>
                <w:sz w:val="16"/>
              </w:rPr>
              <w:t>Commercial</w:t>
            </w:r>
          </w:p>
        </w:tc>
        <w:tc>
          <w:tcPr>
            <w:tcW w:type="dxa" w:w="2455"/>
            <w:vAlign w:val="center"/>
          </w:tcPr>
          <w:p>
            <w:pPr>
              <w:spacing w:after="20"/>
            </w:pPr>
            <w:r>
              <w:rPr>
                <w:sz w:val="16"/>
              </w:rPr>
              <w:t>Currency, unit price, quote unit, quoted quantity</w:t>
            </w:r>
          </w:p>
        </w:tc>
        <w:tc>
          <w:tcPr>
            <w:tcW w:type="dxa" w:w="2455"/>
            <w:vAlign w:val="center"/>
          </w:tcPr>
          <w:p>
            <w:pPr>
              <w:spacing w:after="20"/>
            </w:pPr>
            <w:r>
              <w:rPr>
                <w:sz w:val="16"/>
              </w:rPr>
              <w:t>R</w:t>
            </w:r>
          </w:p>
        </w:tc>
        <w:tc>
          <w:tcPr>
            <w:tcW w:type="dxa" w:w="2455"/>
            <w:vAlign w:val="center"/>
          </w:tcPr>
          <w:p>
            <w:pPr>
              <w:spacing w:after="20"/>
            </w:pPr>
            <w:r>
              <w:rPr>
                <w:sz w:val="16"/>
              </w:rPr>
              <w:t>Correct UOM and price normalization</w:t>
            </w:r>
          </w:p>
        </w:tc>
      </w:tr>
      <w:tr>
        <w:tc>
          <w:tcPr>
            <w:tcW w:type="dxa" w:w="2455"/>
            <w:vAlign w:val="center"/>
          </w:tcPr>
          <w:p>
            <w:pPr>
              <w:spacing w:after="20"/>
            </w:pPr>
            <w:r>
              <w:rPr>
                <w:sz w:val="16"/>
              </w:rPr>
              <w:t>Commercial</w:t>
            </w:r>
          </w:p>
        </w:tc>
        <w:tc>
          <w:tcPr>
            <w:tcW w:type="dxa" w:w="2455"/>
            <w:vAlign w:val="center"/>
          </w:tcPr>
          <w:p>
            <w:pPr>
              <w:spacing w:after="20"/>
            </w:pPr>
            <w:r>
              <w:rPr>
                <w:sz w:val="16"/>
              </w:rPr>
              <w:t>Tiered quantity price, discount/rebate</w:t>
            </w:r>
          </w:p>
        </w:tc>
        <w:tc>
          <w:tcPr>
            <w:tcW w:type="dxa" w:w="2455"/>
            <w:vAlign w:val="center"/>
          </w:tcPr>
          <w:p>
            <w:pPr>
              <w:spacing w:after="20"/>
            </w:pPr>
            <w:r>
              <w:rPr>
                <w:sz w:val="16"/>
              </w:rPr>
              <w:t>C</w:t>
            </w:r>
          </w:p>
        </w:tc>
        <w:tc>
          <w:tcPr>
            <w:tcW w:type="dxa" w:w="2455"/>
            <w:vAlign w:val="center"/>
          </w:tcPr>
          <w:p>
            <w:pPr>
              <w:spacing w:after="20"/>
            </w:pPr>
            <w:r>
              <w:rPr>
                <w:sz w:val="16"/>
              </w:rPr>
              <w:t>Compare alternate quantities</w:t>
            </w:r>
          </w:p>
        </w:tc>
      </w:tr>
      <w:tr>
        <w:tc>
          <w:tcPr>
            <w:tcW w:type="dxa" w:w="2455"/>
            <w:vAlign w:val="center"/>
          </w:tcPr>
          <w:p>
            <w:pPr>
              <w:spacing w:after="20"/>
            </w:pPr>
            <w:r>
              <w:rPr>
                <w:sz w:val="16"/>
              </w:rPr>
              <w:t>Commercial</w:t>
            </w:r>
          </w:p>
        </w:tc>
        <w:tc>
          <w:tcPr>
            <w:tcW w:type="dxa" w:w="2455"/>
            <w:vAlign w:val="center"/>
          </w:tcPr>
          <w:p>
            <w:pPr>
              <w:spacing w:after="20"/>
            </w:pPr>
            <w:r>
              <w:rPr>
                <w:sz w:val="16"/>
              </w:rPr>
              <w:t>Minimum order quantity (MOQ)</w:t>
            </w:r>
          </w:p>
        </w:tc>
        <w:tc>
          <w:tcPr>
            <w:tcW w:type="dxa" w:w="2455"/>
            <w:vAlign w:val="center"/>
          </w:tcPr>
          <w:p>
            <w:pPr>
              <w:spacing w:after="20"/>
            </w:pPr>
            <w:r>
              <w:rPr>
                <w:sz w:val="16"/>
              </w:rPr>
              <w:t>R</w:t>
            </w:r>
          </w:p>
        </w:tc>
        <w:tc>
          <w:tcPr>
            <w:tcW w:type="dxa" w:w="2455"/>
            <w:vAlign w:val="center"/>
          </w:tcPr>
          <w:p>
            <w:pPr>
              <w:spacing w:after="20"/>
            </w:pPr>
            <w:r>
              <w:rPr>
                <w:sz w:val="16"/>
              </w:rPr>
              <w:t>Supply feasibility</w:t>
            </w:r>
          </w:p>
        </w:tc>
      </w:tr>
      <w:tr>
        <w:tc>
          <w:tcPr>
            <w:tcW w:type="dxa" w:w="2455"/>
            <w:vAlign w:val="center"/>
          </w:tcPr>
          <w:p>
            <w:pPr>
              <w:spacing w:after="20"/>
            </w:pPr>
            <w:r>
              <w:rPr>
                <w:sz w:val="16"/>
              </w:rPr>
              <w:t>Commercial</w:t>
            </w:r>
          </w:p>
        </w:tc>
        <w:tc>
          <w:tcPr>
            <w:tcW w:type="dxa" w:w="2455"/>
            <w:vAlign w:val="center"/>
          </w:tcPr>
          <w:p>
            <w:pPr>
              <w:spacing w:after="20"/>
            </w:pPr>
            <w:r>
              <w:rPr>
                <w:sz w:val="16"/>
              </w:rPr>
              <w:t>Quotation validity date</w:t>
            </w:r>
          </w:p>
        </w:tc>
        <w:tc>
          <w:tcPr>
            <w:tcW w:type="dxa" w:w="2455"/>
            <w:vAlign w:val="center"/>
          </w:tcPr>
          <w:p>
            <w:pPr>
              <w:spacing w:after="20"/>
            </w:pPr>
            <w:r>
              <w:rPr>
                <w:sz w:val="16"/>
              </w:rPr>
              <w:t>R</w:t>
            </w:r>
          </w:p>
        </w:tc>
        <w:tc>
          <w:tcPr>
            <w:tcW w:type="dxa" w:w="2455"/>
            <w:vAlign w:val="center"/>
          </w:tcPr>
          <w:p>
            <w:pPr>
              <w:spacing w:after="20"/>
            </w:pPr>
            <w:r>
              <w:rPr>
                <w:sz w:val="16"/>
              </w:rPr>
              <w:t>Flag expiry before award</w:t>
            </w:r>
          </w:p>
        </w:tc>
      </w:tr>
      <w:tr>
        <w:tc>
          <w:tcPr>
            <w:tcW w:type="dxa" w:w="2455"/>
            <w:vAlign w:val="center"/>
          </w:tcPr>
          <w:p>
            <w:pPr>
              <w:spacing w:after="20"/>
            </w:pPr>
            <w:r>
              <w:rPr>
                <w:sz w:val="16"/>
              </w:rPr>
              <w:t>Commercial</w:t>
            </w:r>
          </w:p>
        </w:tc>
        <w:tc>
          <w:tcPr>
            <w:tcW w:type="dxa" w:w="2455"/>
            <w:vAlign w:val="center"/>
          </w:tcPr>
          <w:p>
            <w:pPr>
              <w:spacing w:after="20"/>
            </w:pPr>
            <w:r>
              <w:rPr>
                <w:sz w:val="16"/>
              </w:rPr>
              <w:t>Payment method and detailed terms</w:t>
            </w:r>
          </w:p>
        </w:tc>
        <w:tc>
          <w:tcPr>
            <w:tcW w:type="dxa" w:w="2455"/>
            <w:vAlign w:val="center"/>
          </w:tcPr>
          <w:p>
            <w:pPr>
              <w:spacing w:after="20"/>
            </w:pPr>
            <w:r>
              <w:rPr>
                <w:sz w:val="16"/>
              </w:rPr>
              <w:t>R</w:t>
            </w:r>
          </w:p>
        </w:tc>
        <w:tc>
          <w:tcPr>
            <w:tcW w:type="dxa" w:w="2455"/>
            <w:vAlign w:val="center"/>
          </w:tcPr>
          <w:p>
            <w:pPr>
              <w:spacing w:after="20"/>
            </w:pPr>
            <w:r>
              <w:rPr>
                <w:sz w:val="16"/>
              </w:rPr>
              <w:t>LC sight/usance; TT advance/balance; credit days</w:t>
            </w:r>
          </w:p>
        </w:tc>
      </w:tr>
      <w:tr>
        <w:tc>
          <w:tcPr>
            <w:tcW w:type="dxa" w:w="2455"/>
            <w:vAlign w:val="center"/>
          </w:tcPr>
          <w:p>
            <w:pPr>
              <w:spacing w:after="20"/>
            </w:pPr>
            <w:r>
              <w:rPr>
                <w:sz w:val="16"/>
              </w:rPr>
              <w:t>Commercial</w:t>
            </w:r>
          </w:p>
        </w:tc>
        <w:tc>
          <w:tcPr>
            <w:tcW w:type="dxa" w:w="2455"/>
            <w:vAlign w:val="center"/>
          </w:tcPr>
          <w:p>
            <w:pPr>
              <w:spacing w:after="20"/>
            </w:pPr>
            <w:r>
              <w:rPr>
                <w:sz w:val="16"/>
              </w:rPr>
              <w:t>Bank charges allocation</w:t>
            </w:r>
          </w:p>
        </w:tc>
        <w:tc>
          <w:tcPr>
            <w:tcW w:type="dxa" w:w="2455"/>
            <w:vAlign w:val="center"/>
          </w:tcPr>
          <w:p>
            <w:pPr>
              <w:spacing w:after="20"/>
            </w:pPr>
            <w:r>
              <w:rPr>
                <w:sz w:val="16"/>
              </w:rPr>
              <w:t>C</w:t>
            </w:r>
          </w:p>
        </w:tc>
        <w:tc>
          <w:tcPr>
            <w:tcW w:type="dxa" w:w="2455"/>
            <w:vAlign w:val="center"/>
          </w:tcPr>
          <w:p>
            <w:pPr>
              <w:spacing w:after="20"/>
            </w:pPr>
            <w:r>
              <w:rPr>
                <w:sz w:val="16"/>
              </w:rPr>
              <w:t>Real landed-cost and payment comparison</w:t>
            </w:r>
          </w:p>
        </w:tc>
      </w:tr>
      <w:tr>
        <w:tc>
          <w:tcPr>
            <w:tcW w:type="dxa" w:w="2455"/>
            <w:vAlign w:val="center"/>
          </w:tcPr>
          <w:p>
            <w:pPr>
              <w:spacing w:after="20"/>
            </w:pPr>
            <w:r>
              <w:rPr>
                <w:sz w:val="16"/>
              </w:rPr>
              <w:t>Logistics</w:t>
            </w:r>
          </w:p>
        </w:tc>
        <w:tc>
          <w:tcPr>
            <w:tcW w:type="dxa" w:w="2455"/>
            <w:vAlign w:val="center"/>
          </w:tcPr>
          <w:p>
            <w:pPr>
              <w:spacing w:after="20"/>
            </w:pPr>
            <w:r>
              <w:rPr>
                <w:sz w:val="16"/>
              </w:rPr>
              <w:t>Incoterms 2020 rule and named place/port</w:t>
            </w:r>
          </w:p>
        </w:tc>
        <w:tc>
          <w:tcPr>
            <w:tcW w:type="dxa" w:w="2455"/>
            <w:vAlign w:val="center"/>
          </w:tcPr>
          <w:p>
            <w:pPr>
              <w:spacing w:after="20"/>
            </w:pPr>
            <w:r>
              <w:rPr>
                <w:sz w:val="16"/>
              </w:rPr>
              <w:t>R</w:t>
            </w:r>
          </w:p>
        </w:tc>
        <w:tc>
          <w:tcPr>
            <w:tcW w:type="dxa" w:w="2455"/>
            <w:vAlign w:val="center"/>
          </w:tcPr>
          <w:p>
            <w:pPr>
              <w:spacing w:after="20"/>
            </w:pPr>
            <w:r>
              <w:rPr>
                <w:sz w:val="16"/>
              </w:rPr>
              <w:t>FOB Shanghai Port, CIF Chattogram Port, etc.</w:t>
            </w:r>
          </w:p>
        </w:tc>
      </w:tr>
      <w:tr>
        <w:tc>
          <w:tcPr>
            <w:tcW w:type="dxa" w:w="2455"/>
            <w:vAlign w:val="center"/>
          </w:tcPr>
          <w:p>
            <w:pPr>
              <w:spacing w:after="20"/>
            </w:pPr>
            <w:r>
              <w:rPr>
                <w:sz w:val="16"/>
              </w:rPr>
              <w:t>Logistics</w:t>
            </w:r>
          </w:p>
        </w:tc>
        <w:tc>
          <w:tcPr>
            <w:tcW w:type="dxa" w:w="2455"/>
            <w:vAlign w:val="center"/>
          </w:tcPr>
          <w:p>
            <w:pPr>
              <w:spacing w:after="20"/>
            </w:pPr>
            <w:r>
              <w:rPr>
                <w:sz w:val="16"/>
              </w:rPr>
              <w:t>Port of loading; discharge/destination</w:t>
            </w:r>
          </w:p>
        </w:tc>
        <w:tc>
          <w:tcPr>
            <w:tcW w:type="dxa" w:w="2455"/>
            <w:vAlign w:val="center"/>
          </w:tcPr>
          <w:p>
            <w:pPr>
              <w:spacing w:after="20"/>
            </w:pPr>
            <w:r>
              <w:rPr>
                <w:sz w:val="16"/>
              </w:rPr>
              <w:t>R for import</w:t>
            </w:r>
          </w:p>
        </w:tc>
        <w:tc>
          <w:tcPr>
            <w:tcW w:type="dxa" w:w="2455"/>
            <w:vAlign w:val="center"/>
          </w:tcPr>
          <w:p>
            <w:pPr>
              <w:spacing w:after="20"/>
            </w:pPr>
            <w:r>
              <w:rPr>
                <w:sz w:val="16"/>
              </w:rPr>
              <w:t>Shipment planning</w:t>
            </w:r>
          </w:p>
        </w:tc>
      </w:tr>
      <w:tr>
        <w:tc>
          <w:tcPr>
            <w:tcW w:type="dxa" w:w="2455"/>
            <w:vAlign w:val="center"/>
          </w:tcPr>
          <w:p>
            <w:pPr>
              <w:spacing w:after="20"/>
            </w:pPr>
            <w:r>
              <w:rPr>
                <w:sz w:val="16"/>
              </w:rPr>
              <w:t>Logistics</w:t>
            </w:r>
          </w:p>
        </w:tc>
        <w:tc>
          <w:tcPr>
            <w:tcW w:type="dxa" w:w="2455"/>
            <w:vAlign w:val="center"/>
          </w:tcPr>
          <w:p>
            <w:pPr>
              <w:spacing w:after="20"/>
            </w:pPr>
            <w:r>
              <w:rPr>
                <w:sz w:val="16"/>
              </w:rPr>
              <w:t>Production lead time, ready-to-ship date</w:t>
            </w:r>
          </w:p>
        </w:tc>
        <w:tc>
          <w:tcPr>
            <w:tcW w:type="dxa" w:w="2455"/>
            <w:vAlign w:val="center"/>
          </w:tcPr>
          <w:p>
            <w:pPr>
              <w:spacing w:after="20"/>
            </w:pPr>
            <w:r>
              <w:rPr>
                <w:sz w:val="16"/>
              </w:rPr>
              <w:t>R</w:t>
            </w:r>
          </w:p>
        </w:tc>
        <w:tc>
          <w:tcPr>
            <w:tcW w:type="dxa" w:w="2455"/>
            <w:vAlign w:val="center"/>
          </w:tcPr>
          <w:p>
            <w:pPr>
              <w:spacing w:after="20"/>
            </w:pPr>
            <w:r>
              <w:rPr>
                <w:sz w:val="16"/>
              </w:rPr>
              <w:t>Separate from ocean/air transit estimate</w:t>
            </w:r>
          </w:p>
        </w:tc>
      </w:tr>
      <w:tr>
        <w:tc>
          <w:tcPr>
            <w:tcW w:type="dxa" w:w="2455"/>
            <w:vAlign w:val="center"/>
          </w:tcPr>
          <w:p>
            <w:pPr>
              <w:spacing w:after="20"/>
            </w:pPr>
            <w:r>
              <w:rPr>
                <w:sz w:val="16"/>
              </w:rPr>
              <w:t>Logistics</w:t>
            </w:r>
          </w:p>
        </w:tc>
        <w:tc>
          <w:tcPr>
            <w:tcW w:type="dxa" w:w="2455"/>
            <w:vAlign w:val="center"/>
          </w:tcPr>
          <w:p>
            <w:pPr>
              <w:spacing w:after="20"/>
            </w:pPr>
            <w:r>
              <w:rPr>
                <w:sz w:val="16"/>
              </w:rPr>
              <w:t>Shipment lead time / dispatch commitment</w:t>
            </w:r>
          </w:p>
        </w:tc>
        <w:tc>
          <w:tcPr>
            <w:tcW w:type="dxa" w:w="2455"/>
            <w:vAlign w:val="center"/>
          </w:tcPr>
          <w:p>
            <w:pPr>
              <w:spacing w:after="20"/>
            </w:pPr>
            <w:r>
              <w:rPr>
                <w:sz w:val="16"/>
              </w:rPr>
              <w:t>R</w:t>
            </w:r>
          </w:p>
        </w:tc>
        <w:tc>
          <w:tcPr>
            <w:tcW w:type="dxa" w:w="2455"/>
            <w:vAlign w:val="center"/>
          </w:tcPr>
          <w:p>
            <w:pPr>
              <w:spacing w:after="20"/>
            </w:pPr>
            <w:r>
              <w:rPr>
                <w:sz w:val="16"/>
              </w:rPr>
              <w:t>Quote basis and schedule</w:t>
            </w:r>
          </w:p>
        </w:tc>
      </w:tr>
      <w:tr>
        <w:tc>
          <w:tcPr>
            <w:tcW w:type="dxa" w:w="2455"/>
            <w:vAlign w:val="center"/>
          </w:tcPr>
          <w:p>
            <w:pPr>
              <w:spacing w:after="20"/>
            </w:pPr>
            <w:r>
              <w:rPr>
                <w:sz w:val="16"/>
              </w:rPr>
              <w:t>Logistics</w:t>
            </w:r>
          </w:p>
        </w:tc>
        <w:tc>
          <w:tcPr>
            <w:tcW w:type="dxa" w:w="2455"/>
            <w:vAlign w:val="center"/>
          </w:tcPr>
          <w:p>
            <w:pPr>
              <w:spacing w:after="20"/>
            </w:pPr>
            <w:r>
              <w:rPr>
                <w:sz w:val="16"/>
              </w:rPr>
              <w:t>Partial shipments / transshipment permitted</w:t>
            </w:r>
          </w:p>
        </w:tc>
        <w:tc>
          <w:tcPr>
            <w:tcW w:type="dxa" w:w="2455"/>
            <w:vAlign w:val="center"/>
          </w:tcPr>
          <w:p>
            <w:pPr>
              <w:spacing w:after="20"/>
            </w:pPr>
            <w:r>
              <w:rPr>
                <w:sz w:val="16"/>
              </w:rPr>
              <w:t>C</w:t>
            </w:r>
          </w:p>
        </w:tc>
        <w:tc>
          <w:tcPr>
            <w:tcW w:type="dxa" w:w="2455"/>
            <w:vAlign w:val="center"/>
          </w:tcPr>
          <w:p>
            <w:pPr>
              <w:spacing w:after="20"/>
            </w:pPr>
            <w:r>
              <w:rPr>
                <w:sz w:val="16"/>
              </w:rPr>
              <w:t>Import document control</w:t>
            </w:r>
          </w:p>
        </w:tc>
      </w:tr>
      <w:tr>
        <w:tc>
          <w:tcPr>
            <w:tcW w:type="dxa" w:w="2455"/>
            <w:vAlign w:val="center"/>
          </w:tcPr>
          <w:p>
            <w:pPr>
              <w:spacing w:after="20"/>
            </w:pPr>
            <w:r>
              <w:rPr>
                <w:sz w:val="16"/>
              </w:rPr>
              <w:t>Logistics</w:t>
            </w:r>
          </w:p>
        </w:tc>
        <w:tc>
          <w:tcPr>
            <w:tcW w:type="dxa" w:w="2455"/>
            <w:vAlign w:val="center"/>
          </w:tcPr>
          <w:p>
            <w:pPr>
              <w:spacing w:after="20"/>
            </w:pPr>
            <w:r>
              <w:rPr>
                <w:sz w:val="16"/>
              </w:rPr>
              <w:t>Origin country and HS code proposed</w:t>
            </w:r>
          </w:p>
        </w:tc>
        <w:tc>
          <w:tcPr>
            <w:tcW w:type="dxa" w:w="2455"/>
            <w:vAlign w:val="center"/>
          </w:tcPr>
          <w:p>
            <w:pPr>
              <w:spacing w:after="20"/>
            </w:pPr>
            <w:r>
              <w:rPr>
                <w:sz w:val="16"/>
              </w:rPr>
              <w:t>C</w:t>
            </w:r>
          </w:p>
        </w:tc>
        <w:tc>
          <w:tcPr>
            <w:tcW w:type="dxa" w:w="2455"/>
            <w:vAlign w:val="center"/>
          </w:tcPr>
          <w:p>
            <w:pPr>
              <w:spacing w:after="20"/>
            </w:pPr>
            <w:r>
              <w:rPr>
                <w:sz w:val="16"/>
              </w:rPr>
              <w:t>Customs planning; verify independently</w:t>
            </w:r>
          </w:p>
        </w:tc>
      </w:tr>
      <w:tr>
        <w:tc>
          <w:tcPr>
            <w:tcW w:type="dxa" w:w="2455"/>
            <w:vAlign w:val="center"/>
          </w:tcPr>
          <w:p>
            <w:pPr>
              <w:spacing w:after="20"/>
            </w:pPr>
            <w:r>
              <w:rPr>
                <w:sz w:val="16"/>
              </w:rPr>
              <w:t>Logistics</w:t>
            </w:r>
          </w:p>
        </w:tc>
        <w:tc>
          <w:tcPr>
            <w:tcW w:type="dxa" w:w="2455"/>
            <w:vAlign w:val="center"/>
          </w:tcPr>
          <w:p>
            <w:pPr>
              <w:spacing w:after="20"/>
            </w:pPr>
            <w:r>
              <w:rPr>
                <w:sz w:val="16"/>
              </w:rPr>
              <w:t>Estimated gross/net weight and CBM</w:t>
            </w:r>
          </w:p>
        </w:tc>
        <w:tc>
          <w:tcPr>
            <w:tcW w:type="dxa" w:w="2455"/>
            <w:vAlign w:val="center"/>
          </w:tcPr>
          <w:p>
            <w:pPr>
              <w:spacing w:after="20"/>
            </w:pPr>
            <w:r>
              <w:rPr>
                <w:sz w:val="16"/>
              </w:rPr>
              <w:t>C</w:t>
            </w:r>
          </w:p>
        </w:tc>
        <w:tc>
          <w:tcPr>
            <w:tcW w:type="dxa" w:w="2455"/>
            <w:vAlign w:val="center"/>
          </w:tcPr>
          <w:p>
            <w:pPr>
              <w:spacing w:after="20"/>
            </w:pPr>
            <w:r>
              <w:rPr>
                <w:sz w:val="16"/>
              </w:rPr>
              <w:t>Freight estimate</w:t>
            </w:r>
          </w:p>
        </w:tc>
      </w:tr>
      <w:tr>
        <w:tc>
          <w:tcPr>
            <w:tcW w:type="dxa" w:w="2455"/>
            <w:vAlign w:val="center"/>
          </w:tcPr>
          <w:p>
            <w:pPr>
              <w:spacing w:after="20"/>
            </w:pPr>
            <w:r>
              <w:rPr>
                <w:sz w:val="16"/>
              </w:rPr>
              <w:t>Packing</w:t>
            </w:r>
          </w:p>
        </w:tc>
        <w:tc>
          <w:tcPr>
            <w:tcW w:type="dxa" w:w="2455"/>
            <w:vAlign w:val="center"/>
          </w:tcPr>
          <w:p>
            <w:pPr>
              <w:spacing w:after="20"/>
            </w:pPr>
            <w:r>
              <w:rPr>
                <w:sz w:val="16"/>
              </w:rPr>
              <w:t>Roll length, roll count, package type</w:t>
            </w:r>
          </w:p>
        </w:tc>
        <w:tc>
          <w:tcPr>
            <w:tcW w:type="dxa" w:w="2455"/>
            <w:vAlign w:val="center"/>
          </w:tcPr>
          <w:p>
            <w:pPr>
              <w:spacing w:after="20"/>
            </w:pPr>
            <w:r>
              <w:rPr>
                <w:sz w:val="16"/>
              </w:rPr>
              <w:t>C</w:t>
            </w:r>
          </w:p>
        </w:tc>
        <w:tc>
          <w:tcPr>
            <w:tcW w:type="dxa" w:w="2455"/>
            <w:vAlign w:val="center"/>
          </w:tcPr>
          <w:p>
            <w:pPr>
              <w:spacing w:after="20"/>
            </w:pPr>
            <w:r>
              <w:rPr>
                <w:sz w:val="16"/>
              </w:rPr>
              <w:t>Varies by material</w:t>
            </w:r>
          </w:p>
        </w:tc>
      </w:tr>
      <w:tr>
        <w:tc>
          <w:tcPr>
            <w:tcW w:type="dxa" w:w="2455"/>
            <w:vAlign w:val="center"/>
          </w:tcPr>
          <w:p>
            <w:pPr>
              <w:spacing w:after="20"/>
            </w:pPr>
            <w:r>
              <w:rPr>
                <w:sz w:val="16"/>
              </w:rPr>
              <w:t>Packing</w:t>
            </w:r>
          </w:p>
        </w:tc>
        <w:tc>
          <w:tcPr>
            <w:tcW w:type="dxa" w:w="2455"/>
            <w:vAlign w:val="center"/>
          </w:tcPr>
          <w:p>
            <w:pPr>
              <w:spacing w:after="20"/>
            </w:pPr>
            <w:r>
              <w:rPr>
                <w:sz w:val="16"/>
              </w:rPr>
              <w:t>Carton/bale dimensions, labeling</w:t>
            </w:r>
          </w:p>
        </w:tc>
        <w:tc>
          <w:tcPr>
            <w:tcW w:type="dxa" w:w="2455"/>
            <w:vAlign w:val="center"/>
          </w:tcPr>
          <w:p>
            <w:pPr>
              <w:spacing w:after="20"/>
            </w:pPr>
            <w:r>
              <w:rPr>
                <w:sz w:val="16"/>
              </w:rPr>
              <w:t>C</w:t>
            </w:r>
          </w:p>
        </w:tc>
        <w:tc>
          <w:tcPr>
            <w:tcW w:type="dxa" w:w="2455"/>
            <w:vAlign w:val="center"/>
          </w:tcPr>
          <w:p>
            <w:pPr>
              <w:spacing w:after="20"/>
            </w:pPr>
            <w:r>
              <w:rPr>
                <w:sz w:val="16"/>
              </w:rPr>
              <w:t>Warehouse receiving controls</w:t>
            </w:r>
          </w:p>
        </w:tc>
      </w:tr>
      <w:tr>
        <w:tc>
          <w:tcPr>
            <w:tcW w:type="dxa" w:w="2455"/>
            <w:vAlign w:val="center"/>
          </w:tcPr>
          <w:p>
            <w:pPr>
              <w:spacing w:after="20"/>
            </w:pPr>
            <w:r>
              <w:rPr>
                <w:sz w:val="16"/>
              </w:rPr>
              <w:t>Technical</w:t>
            </w:r>
          </w:p>
        </w:tc>
        <w:tc>
          <w:tcPr>
            <w:tcW w:type="dxa" w:w="2455"/>
            <w:vAlign w:val="center"/>
          </w:tcPr>
          <w:p>
            <w:pPr>
              <w:spacing w:after="20"/>
            </w:pPr>
            <w:r>
              <w:rPr>
                <w:sz w:val="16"/>
              </w:rPr>
              <w:t>Material family / grade / supplier product code</w:t>
            </w:r>
          </w:p>
        </w:tc>
        <w:tc>
          <w:tcPr>
            <w:tcW w:type="dxa" w:w="2455"/>
            <w:vAlign w:val="center"/>
          </w:tcPr>
          <w:p>
            <w:pPr>
              <w:spacing w:after="20"/>
            </w:pPr>
            <w:r>
              <w:rPr>
                <w:sz w:val="16"/>
              </w:rPr>
              <w:t>R</w:t>
            </w:r>
          </w:p>
        </w:tc>
        <w:tc>
          <w:tcPr>
            <w:tcW w:type="dxa" w:w="2455"/>
            <w:vAlign w:val="center"/>
          </w:tcPr>
          <w:p>
            <w:pPr>
              <w:spacing w:after="20"/>
            </w:pPr>
            <w:r>
              <w:rPr>
                <w:sz w:val="16"/>
              </w:rPr>
              <w:t>Technical matching</w:t>
            </w:r>
          </w:p>
        </w:tc>
      </w:tr>
      <w:tr>
        <w:tc>
          <w:tcPr>
            <w:tcW w:type="dxa" w:w="2455"/>
            <w:vAlign w:val="center"/>
          </w:tcPr>
          <w:p>
            <w:pPr>
              <w:spacing w:after="20"/>
            </w:pPr>
            <w:r>
              <w:rPr>
                <w:sz w:val="16"/>
              </w:rPr>
              <w:t>Technical</w:t>
            </w:r>
          </w:p>
        </w:tc>
        <w:tc>
          <w:tcPr>
            <w:tcW w:type="dxa" w:w="2455"/>
            <w:vAlign w:val="center"/>
          </w:tcPr>
          <w:p>
            <w:pPr>
              <w:spacing w:after="20"/>
            </w:pPr>
            <w:r>
              <w:rPr>
                <w:sz w:val="16"/>
              </w:rPr>
              <w:t>Product composition / polymer or fiber percentage</w:t>
            </w:r>
          </w:p>
        </w:tc>
        <w:tc>
          <w:tcPr>
            <w:tcW w:type="dxa" w:w="2455"/>
            <w:vAlign w:val="center"/>
          </w:tcPr>
          <w:p>
            <w:pPr>
              <w:spacing w:after="20"/>
            </w:pPr>
            <w:r>
              <w:rPr>
                <w:sz w:val="16"/>
              </w:rPr>
              <w:t>R where applicable</w:t>
            </w:r>
          </w:p>
        </w:tc>
        <w:tc>
          <w:tcPr>
            <w:tcW w:type="dxa" w:w="2455"/>
            <w:vAlign w:val="center"/>
          </w:tcPr>
          <w:p>
            <w:pPr>
              <w:spacing w:after="20"/>
            </w:pPr>
            <w:r>
              <w:rPr>
                <w:sz w:val="16"/>
              </w:rPr>
              <w:t>E.g., PET, PA, PES or blended substrates</w:t>
            </w:r>
          </w:p>
        </w:tc>
      </w:tr>
      <w:tr>
        <w:tc>
          <w:tcPr>
            <w:tcW w:type="dxa" w:w="2455"/>
            <w:vAlign w:val="center"/>
          </w:tcPr>
          <w:p>
            <w:pPr>
              <w:spacing w:after="20"/>
            </w:pPr>
            <w:r>
              <w:rPr>
                <w:sz w:val="16"/>
              </w:rPr>
              <w:t>Technical</w:t>
            </w:r>
          </w:p>
        </w:tc>
        <w:tc>
          <w:tcPr>
            <w:tcW w:type="dxa" w:w="2455"/>
            <w:vAlign w:val="center"/>
          </w:tcPr>
          <w:p>
            <w:pPr>
              <w:spacing w:after="20"/>
            </w:pPr>
            <w:r>
              <w:rPr>
                <w:sz w:val="16"/>
              </w:rPr>
              <w:t>GSM / basis weight, tolerance</w:t>
            </w:r>
          </w:p>
        </w:tc>
        <w:tc>
          <w:tcPr>
            <w:tcW w:type="dxa" w:w="2455"/>
            <w:vAlign w:val="center"/>
          </w:tcPr>
          <w:p>
            <w:pPr>
              <w:spacing w:after="20"/>
            </w:pPr>
            <w:r>
              <w:rPr>
                <w:sz w:val="16"/>
              </w:rPr>
              <w:t>R for fabric RM</w:t>
            </w:r>
          </w:p>
        </w:tc>
        <w:tc>
          <w:tcPr>
            <w:tcW w:type="dxa" w:w="2455"/>
            <w:vAlign w:val="center"/>
          </w:tcPr>
          <w:p>
            <w:pPr>
              <w:spacing w:after="20"/>
            </w:pPr>
            <w:r>
              <w:rPr>
                <w:sz w:val="16"/>
              </w:rPr>
              <w:t>g/m² and acceptable variance</w:t>
            </w:r>
          </w:p>
        </w:tc>
      </w:tr>
      <w:tr>
        <w:tc>
          <w:tcPr>
            <w:tcW w:type="dxa" w:w="2455"/>
            <w:vAlign w:val="center"/>
          </w:tcPr>
          <w:p>
            <w:pPr>
              <w:spacing w:after="20"/>
            </w:pPr>
            <w:r>
              <w:rPr>
                <w:sz w:val="16"/>
              </w:rPr>
              <w:t>Technical</w:t>
            </w:r>
          </w:p>
        </w:tc>
        <w:tc>
          <w:tcPr>
            <w:tcW w:type="dxa" w:w="2455"/>
            <w:vAlign w:val="center"/>
          </w:tcPr>
          <w:p>
            <w:pPr>
              <w:spacing w:after="20"/>
            </w:pPr>
            <w:r>
              <w:rPr>
                <w:sz w:val="16"/>
              </w:rPr>
              <w:t>Usable width and tolerance</w:t>
            </w:r>
          </w:p>
        </w:tc>
        <w:tc>
          <w:tcPr>
            <w:tcW w:type="dxa" w:w="2455"/>
            <w:vAlign w:val="center"/>
          </w:tcPr>
          <w:p>
            <w:pPr>
              <w:spacing w:after="20"/>
            </w:pPr>
            <w:r>
              <w:rPr>
                <w:sz w:val="16"/>
              </w:rPr>
              <w:t>R for roll goods</w:t>
            </w:r>
          </w:p>
        </w:tc>
        <w:tc>
          <w:tcPr>
            <w:tcW w:type="dxa" w:w="2455"/>
            <w:vAlign w:val="center"/>
          </w:tcPr>
          <w:p>
            <w:pPr>
              <w:spacing w:after="20"/>
            </w:pPr>
            <w:r>
              <w:rPr>
                <w:sz w:val="16"/>
              </w:rPr>
              <w:t>cm/inches; conversion and tolerance</w:t>
            </w:r>
          </w:p>
        </w:tc>
      </w:tr>
      <w:tr>
        <w:tc>
          <w:tcPr>
            <w:tcW w:type="dxa" w:w="2455"/>
            <w:vAlign w:val="center"/>
          </w:tcPr>
          <w:p>
            <w:pPr>
              <w:spacing w:after="20"/>
            </w:pPr>
            <w:r>
              <w:rPr>
                <w:sz w:val="16"/>
              </w:rPr>
              <w:t>Technical</w:t>
            </w:r>
          </w:p>
        </w:tc>
        <w:tc>
          <w:tcPr>
            <w:tcW w:type="dxa" w:w="2455"/>
            <w:vAlign w:val="center"/>
          </w:tcPr>
          <w:p>
            <w:pPr>
              <w:spacing w:after="20"/>
            </w:pPr>
            <w:r>
              <w:rPr>
                <w:sz w:val="16"/>
              </w:rPr>
              <w:t>Base fabric construction</w:t>
            </w:r>
          </w:p>
        </w:tc>
        <w:tc>
          <w:tcPr>
            <w:tcW w:type="dxa" w:w="2455"/>
            <w:vAlign w:val="center"/>
          </w:tcPr>
          <w:p>
            <w:pPr>
              <w:spacing w:after="20"/>
            </w:pPr>
            <w:r>
              <w:rPr>
                <w:sz w:val="16"/>
              </w:rPr>
              <w:t>C</w:t>
            </w:r>
          </w:p>
        </w:tc>
        <w:tc>
          <w:tcPr>
            <w:tcW w:type="dxa" w:w="2455"/>
            <w:vAlign w:val="center"/>
          </w:tcPr>
          <w:p>
            <w:pPr>
              <w:spacing w:after="20"/>
            </w:pPr>
            <w:r>
              <w:rPr>
                <w:sz w:val="16"/>
              </w:rPr>
              <w:t>Nonwoven / woven / knitted, structure/bonding method</w:t>
            </w:r>
          </w:p>
        </w:tc>
      </w:tr>
      <w:tr>
        <w:tc>
          <w:tcPr>
            <w:tcW w:type="dxa" w:w="2455"/>
            <w:vAlign w:val="center"/>
          </w:tcPr>
          <w:p>
            <w:pPr>
              <w:spacing w:after="20"/>
            </w:pPr>
            <w:r>
              <w:rPr>
                <w:sz w:val="16"/>
              </w:rPr>
              <w:t>Technical</w:t>
            </w:r>
          </w:p>
        </w:tc>
        <w:tc>
          <w:tcPr>
            <w:tcW w:type="dxa" w:w="2455"/>
            <w:vAlign w:val="center"/>
          </w:tcPr>
          <w:p>
            <w:pPr>
              <w:spacing w:after="20"/>
            </w:pPr>
            <w:r>
              <w:rPr>
                <w:sz w:val="16"/>
              </w:rPr>
              <w:t>Coating resin type</w:t>
            </w:r>
          </w:p>
        </w:tc>
        <w:tc>
          <w:tcPr>
            <w:tcW w:type="dxa" w:w="2455"/>
            <w:vAlign w:val="center"/>
          </w:tcPr>
          <w:p>
            <w:pPr>
              <w:spacing w:after="20"/>
            </w:pPr>
            <w:r>
              <w:rPr>
                <w:sz w:val="16"/>
              </w:rPr>
              <w:t>C</w:t>
            </w:r>
          </w:p>
        </w:tc>
        <w:tc>
          <w:tcPr>
            <w:tcW w:type="dxa" w:w="2455"/>
            <w:vAlign w:val="center"/>
          </w:tcPr>
          <w:p>
            <w:pPr>
              <w:spacing w:after="20"/>
            </w:pPr>
            <w:r>
              <w:rPr>
                <w:sz w:val="16"/>
              </w:rPr>
              <w:t>PA/PES/PE/EVA or other; validate suitability</w:t>
            </w:r>
          </w:p>
        </w:tc>
      </w:tr>
      <w:tr>
        <w:tc>
          <w:tcPr>
            <w:tcW w:type="dxa" w:w="2455"/>
            <w:vAlign w:val="center"/>
          </w:tcPr>
          <w:p>
            <w:pPr>
              <w:spacing w:after="20"/>
            </w:pPr>
            <w:r>
              <w:rPr>
                <w:sz w:val="16"/>
              </w:rPr>
              <w:t>Technical</w:t>
            </w:r>
          </w:p>
        </w:tc>
        <w:tc>
          <w:tcPr>
            <w:tcW w:type="dxa" w:w="2455"/>
            <w:vAlign w:val="center"/>
          </w:tcPr>
          <w:p>
            <w:pPr>
              <w:spacing w:after="20"/>
            </w:pPr>
            <w:r>
              <w:rPr>
                <w:sz w:val="16"/>
              </w:rPr>
              <w:t>Coating weight / dot density</w:t>
            </w:r>
          </w:p>
        </w:tc>
        <w:tc>
          <w:tcPr>
            <w:tcW w:type="dxa" w:w="2455"/>
            <w:vAlign w:val="center"/>
          </w:tcPr>
          <w:p>
            <w:pPr>
              <w:spacing w:after="20"/>
            </w:pPr>
            <w:r>
              <w:rPr>
                <w:sz w:val="16"/>
              </w:rPr>
              <w:t>C</w:t>
            </w:r>
          </w:p>
        </w:tc>
        <w:tc>
          <w:tcPr>
            <w:tcW w:type="dxa" w:w="2455"/>
            <w:vAlign w:val="center"/>
          </w:tcPr>
          <w:p>
            <w:pPr>
              <w:spacing w:after="20"/>
            </w:pPr>
            <w:r>
              <w:rPr>
                <w:sz w:val="16"/>
              </w:rPr>
              <w:t>Relevant for coated or fusible material</w:t>
            </w:r>
          </w:p>
        </w:tc>
      </w:tr>
      <w:tr>
        <w:tc>
          <w:tcPr>
            <w:tcW w:type="dxa" w:w="2455"/>
            <w:vAlign w:val="center"/>
          </w:tcPr>
          <w:p>
            <w:pPr>
              <w:spacing w:after="20"/>
            </w:pPr>
            <w:r>
              <w:rPr>
                <w:sz w:val="16"/>
              </w:rPr>
              <w:t>Technical</w:t>
            </w:r>
          </w:p>
        </w:tc>
        <w:tc>
          <w:tcPr>
            <w:tcW w:type="dxa" w:w="2455"/>
            <w:vAlign w:val="center"/>
          </w:tcPr>
          <w:p>
            <w:pPr>
              <w:spacing w:after="20"/>
            </w:pPr>
            <w:r>
              <w:rPr>
                <w:sz w:val="16"/>
              </w:rPr>
              <w:t>Fusing temperature, time and pressure</w:t>
            </w:r>
          </w:p>
        </w:tc>
        <w:tc>
          <w:tcPr>
            <w:tcW w:type="dxa" w:w="2455"/>
            <w:vAlign w:val="center"/>
          </w:tcPr>
          <w:p>
            <w:pPr>
              <w:spacing w:after="20"/>
            </w:pPr>
            <w:r>
              <w:rPr>
                <w:sz w:val="16"/>
              </w:rPr>
              <w:t>C</w:t>
            </w:r>
          </w:p>
        </w:tc>
        <w:tc>
          <w:tcPr>
            <w:tcW w:type="dxa" w:w="2455"/>
            <w:vAlign w:val="center"/>
          </w:tcPr>
          <w:p>
            <w:pPr>
              <w:spacing w:after="20"/>
            </w:pPr>
            <w:r>
              <w:rPr>
                <w:sz w:val="16"/>
              </w:rPr>
              <w:t>Supplier recommendation + test limits</w:t>
            </w:r>
          </w:p>
        </w:tc>
      </w:tr>
      <w:tr>
        <w:tc>
          <w:tcPr>
            <w:tcW w:type="dxa" w:w="2455"/>
            <w:vAlign w:val="center"/>
          </w:tcPr>
          <w:p>
            <w:pPr>
              <w:spacing w:after="20"/>
            </w:pPr>
            <w:r>
              <w:rPr>
                <w:sz w:val="16"/>
              </w:rPr>
              <w:t>Technical</w:t>
            </w:r>
          </w:p>
        </w:tc>
        <w:tc>
          <w:tcPr>
            <w:tcW w:type="dxa" w:w="2455"/>
            <w:vAlign w:val="center"/>
          </w:tcPr>
          <w:p>
            <w:pPr>
              <w:spacing w:after="20"/>
            </w:pPr>
            <w:r>
              <w:rPr>
                <w:sz w:val="16"/>
              </w:rPr>
              <w:t>Peel / bond strength and method</w:t>
            </w:r>
          </w:p>
        </w:tc>
        <w:tc>
          <w:tcPr>
            <w:tcW w:type="dxa" w:w="2455"/>
            <w:vAlign w:val="center"/>
          </w:tcPr>
          <w:p>
            <w:pPr>
              <w:spacing w:after="20"/>
            </w:pPr>
            <w:r>
              <w:rPr>
                <w:sz w:val="16"/>
              </w:rPr>
              <w:t>C</w:t>
            </w:r>
          </w:p>
        </w:tc>
        <w:tc>
          <w:tcPr>
            <w:tcW w:type="dxa" w:w="2455"/>
            <w:vAlign w:val="center"/>
          </w:tcPr>
          <w:p>
            <w:pPr>
              <w:spacing w:after="20"/>
            </w:pPr>
            <w:r>
              <w:rPr>
                <w:sz w:val="16"/>
              </w:rPr>
              <w:t>Include units, conditioning, test method</w:t>
            </w:r>
          </w:p>
        </w:tc>
      </w:tr>
      <w:tr>
        <w:tc>
          <w:tcPr>
            <w:tcW w:type="dxa" w:w="2455"/>
            <w:vAlign w:val="center"/>
          </w:tcPr>
          <w:p>
            <w:pPr>
              <w:spacing w:after="20"/>
            </w:pPr>
            <w:r>
              <w:rPr>
                <w:sz w:val="16"/>
              </w:rPr>
              <w:t>Technical</w:t>
            </w:r>
          </w:p>
        </w:tc>
        <w:tc>
          <w:tcPr>
            <w:tcW w:type="dxa" w:w="2455"/>
            <w:vAlign w:val="center"/>
          </w:tcPr>
          <w:p>
            <w:pPr>
              <w:spacing w:after="20"/>
            </w:pPr>
            <w:r>
              <w:rPr>
                <w:sz w:val="16"/>
              </w:rPr>
              <w:t>Shrinkage / dimensional stability</w:t>
            </w:r>
          </w:p>
        </w:tc>
        <w:tc>
          <w:tcPr>
            <w:tcW w:type="dxa" w:w="2455"/>
            <w:vAlign w:val="center"/>
          </w:tcPr>
          <w:p>
            <w:pPr>
              <w:spacing w:after="20"/>
            </w:pPr>
            <w:r>
              <w:rPr>
                <w:sz w:val="16"/>
              </w:rPr>
              <w:t>C</w:t>
            </w:r>
          </w:p>
        </w:tc>
        <w:tc>
          <w:tcPr>
            <w:tcW w:type="dxa" w:w="2455"/>
            <w:vAlign w:val="center"/>
          </w:tcPr>
          <w:p>
            <w:pPr>
              <w:spacing w:after="20"/>
            </w:pPr>
            <w:r>
              <w:rPr>
                <w:sz w:val="16"/>
              </w:rPr>
              <w:t>Length/width and test method</w:t>
            </w:r>
          </w:p>
        </w:tc>
      </w:tr>
      <w:tr>
        <w:tc>
          <w:tcPr>
            <w:tcW w:type="dxa" w:w="2455"/>
            <w:vAlign w:val="center"/>
          </w:tcPr>
          <w:p>
            <w:pPr>
              <w:spacing w:after="20"/>
            </w:pPr>
            <w:r>
              <w:rPr>
                <w:sz w:val="16"/>
              </w:rPr>
              <w:t>Technical</w:t>
            </w:r>
          </w:p>
        </w:tc>
        <w:tc>
          <w:tcPr>
            <w:tcW w:type="dxa" w:w="2455"/>
            <w:vAlign w:val="center"/>
          </w:tcPr>
          <w:p>
            <w:pPr>
              <w:spacing w:after="20"/>
            </w:pPr>
            <w:r>
              <w:rPr>
                <w:sz w:val="16"/>
              </w:rPr>
              <w:t>Color / shade / whiteness</w:t>
            </w:r>
          </w:p>
        </w:tc>
        <w:tc>
          <w:tcPr>
            <w:tcW w:type="dxa" w:w="2455"/>
            <w:vAlign w:val="center"/>
          </w:tcPr>
          <w:p>
            <w:pPr>
              <w:spacing w:after="20"/>
            </w:pPr>
            <w:r>
              <w:rPr>
                <w:sz w:val="16"/>
              </w:rPr>
              <w:t>C</w:t>
            </w:r>
          </w:p>
        </w:tc>
        <w:tc>
          <w:tcPr>
            <w:tcW w:type="dxa" w:w="2455"/>
            <w:vAlign w:val="center"/>
          </w:tcPr>
          <w:p>
            <w:pPr>
              <w:spacing w:after="20"/>
            </w:pPr>
            <w:r>
              <w:rPr>
                <w:sz w:val="16"/>
              </w:rPr>
              <w:t>Match approved specification</w:t>
            </w:r>
          </w:p>
        </w:tc>
      </w:tr>
      <w:tr>
        <w:tc>
          <w:tcPr>
            <w:tcW w:type="dxa" w:w="2455"/>
            <w:vAlign w:val="center"/>
          </w:tcPr>
          <w:p>
            <w:pPr>
              <w:spacing w:after="20"/>
            </w:pPr>
            <w:r>
              <w:rPr>
                <w:sz w:val="16"/>
              </w:rPr>
              <w:t>Technical</w:t>
            </w:r>
          </w:p>
        </w:tc>
        <w:tc>
          <w:tcPr>
            <w:tcW w:type="dxa" w:w="2455"/>
            <w:vAlign w:val="center"/>
          </w:tcPr>
          <w:p>
            <w:pPr>
              <w:spacing w:after="20"/>
            </w:pPr>
            <w:r>
              <w:rPr>
                <w:sz w:val="16"/>
              </w:rPr>
              <w:t>Hand feel / stiffness / thickness</w:t>
            </w:r>
          </w:p>
        </w:tc>
        <w:tc>
          <w:tcPr>
            <w:tcW w:type="dxa" w:w="2455"/>
            <w:vAlign w:val="center"/>
          </w:tcPr>
          <w:p>
            <w:pPr>
              <w:spacing w:after="20"/>
            </w:pPr>
            <w:r>
              <w:rPr>
                <w:sz w:val="16"/>
              </w:rPr>
              <w:t>C</w:t>
            </w:r>
          </w:p>
        </w:tc>
        <w:tc>
          <w:tcPr>
            <w:tcW w:type="dxa" w:w="2455"/>
            <w:vAlign w:val="center"/>
          </w:tcPr>
          <w:p>
            <w:pPr>
              <w:spacing w:after="20"/>
            </w:pPr>
            <w:r>
              <w:rPr>
                <w:sz w:val="16"/>
              </w:rPr>
              <w:t>Where end-use performance requires</w:t>
            </w:r>
          </w:p>
        </w:tc>
      </w:tr>
      <w:tr>
        <w:tc>
          <w:tcPr>
            <w:tcW w:type="dxa" w:w="2455"/>
            <w:vAlign w:val="center"/>
          </w:tcPr>
          <w:p>
            <w:pPr>
              <w:spacing w:after="20"/>
            </w:pPr>
            <w:r>
              <w:rPr>
                <w:sz w:val="16"/>
              </w:rPr>
              <w:t>Technical</w:t>
            </w:r>
          </w:p>
        </w:tc>
        <w:tc>
          <w:tcPr>
            <w:tcW w:type="dxa" w:w="2455"/>
            <w:vAlign w:val="center"/>
          </w:tcPr>
          <w:p>
            <w:pPr>
              <w:spacing w:after="20"/>
            </w:pPr>
            <w:r>
              <w:rPr>
                <w:sz w:val="16"/>
              </w:rPr>
              <w:t>Thermal/chemical stability</w:t>
            </w:r>
          </w:p>
        </w:tc>
        <w:tc>
          <w:tcPr>
            <w:tcW w:type="dxa" w:w="2455"/>
            <w:vAlign w:val="center"/>
          </w:tcPr>
          <w:p>
            <w:pPr>
              <w:spacing w:after="20"/>
            </w:pPr>
            <w:r>
              <w:rPr>
                <w:sz w:val="16"/>
              </w:rPr>
              <w:t>C</w:t>
            </w:r>
          </w:p>
        </w:tc>
        <w:tc>
          <w:tcPr>
            <w:tcW w:type="dxa" w:w="2455"/>
            <w:vAlign w:val="center"/>
          </w:tcPr>
          <w:p>
            <w:pPr>
              <w:spacing w:after="20"/>
            </w:pPr>
            <w:r>
              <w:rPr>
                <w:sz w:val="16"/>
              </w:rPr>
              <w:t>Applicable to specific resin/chemical inputs</w:t>
            </w:r>
          </w:p>
        </w:tc>
      </w:tr>
      <w:tr>
        <w:tc>
          <w:tcPr>
            <w:tcW w:type="dxa" w:w="2455"/>
            <w:vAlign w:val="center"/>
          </w:tcPr>
          <w:p>
            <w:pPr>
              <w:spacing w:after="20"/>
            </w:pPr>
            <w:r>
              <w:rPr>
                <w:sz w:val="16"/>
              </w:rPr>
              <w:t>Technical</w:t>
            </w:r>
          </w:p>
        </w:tc>
        <w:tc>
          <w:tcPr>
            <w:tcW w:type="dxa" w:w="2455"/>
            <w:vAlign w:val="center"/>
          </w:tcPr>
          <w:p>
            <w:pPr>
              <w:spacing w:after="20"/>
            </w:pPr>
            <w:r>
              <w:rPr>
                <w:sz w:val="16"/>
              </w:rPr>
              <w:t>Adhesive powder: particle size/melt characteristics</w:t>
            </w:r>
          </w:p>
        </w:tc>
        <w:tc>
          <w:tcPr>
            <w:tcW w:type="dxa" w:w="2455"/>
            <w:vAlign w:val="center"/>
          </w:tcPr>
          <w:p>
            <w:pPr>
              <w:spacing w:after="20"/>
            </w:pPr>
            <w:r>
              <w:rPr>
                <w:sz w:val="16"/>
              </w:rPr>
              <w:t>C</w:t>
            </w:r>
          </w:p>
        </w:tc>
        <w:tc>
          <w:tcPr>
            <w:tcW w:type="dxa" w:w="2455"/>
            <w:vAlign w:val="center"/>
          </w:tcPr>
          <w:p>
            <w:pPr>
              <w:spacing w:after="20"/>
            </w:pPr>
            <w:r>
              <w:rPr>
                <w:sz w:val="16"/>
              </w:rPr>
              <w:t>For powder RM rather than finished cloth</w:t>
            </w:r>
          </w:p>
        </w:tc>
      </w:tr>
      <w:tr>
        <w:tc>
          <w:tcPr>
            <w:tcW w:type="dxa" w:w="2455"/>
            <w:vAlign w:val="center"/>
          </w:tcPr>
          <w:p>
            <w:pPr>
              <w:spacing w:after="20"/>
            </w:pPr>
            <w:r>
              <w:rPr>
                <w:sz w:val="16"/>
              </w:rPr>
              <w:t>Technical</w:t>
            </w:r>
          </w:p>
        </w:tc>
        <w:tc>
          <w:tcPr>
            <w:tcW w:type="dxa" w:w="2455"/>
            <w:vAlign w:val="center"/>
          </w:tcPr>
          <w:p>
            <w:pPr>
              <w:spacing w:after="20"/>
            </w:pPr>
            <w:r>
              <w:rPr>
                <w:sz w:val="16"/>
              </w:rPr>
              <w:t>Chemical: viscosity, solids content, pH, shelf life</w:t>
            </w:r>
          </w:p>
        </w:tc>
        <w:tc>
          <w:tcPr>
            <w:tcW w:type="dxa" w:w="2455"/>
            <w:vAlign w:val="center"/>
          </w:tcPr>
          <w:p>
            <w:pPr>
              <w:spacing w:after="20"/>
            </w:pPr>
            <w:r>
              <w:rPr>
                <w:sz w:val="16"/>
              </w:rPr>
              <w:t>C</w:t>
            </w:r>
          </w:p>
        </w:tc>
        <w:tc>
          <w:tcPr>
            <w:tcW w:type="dxa" w:w="2455"/>
            <w:vAlign w:val="center"/>
          </w:tcPr>
          <w:p>
            <w:pPr>
              <w:spacing w:after="20"/>
            </w:pPr>
            <w:r>
              <w:rPr>
                <w:sz w:val="16"/>
              </w:rPr>
              <w:t>For coating agents/resins, only when relevant</w:t>
            </w:r>
          </w:p>
        </w:tc>
      </w:tr>
      <w:tr>
        <w:tc>
          <w:tcPr>
            <w:tcW w:type="dxa" w:w="2455"/>
            <w:vAlign w:val="center"/>
          </w:tcPr>
          <w:p>
            <w:pPr>
              <w:spacing w:after="20"/>
            </w:pPr>
            <w:r>
              <w:rPr>
                <w:sz w:val="16"/>
              </w:rPr>
              <w:t>QA documents</w:t>
            </w:r>
          </w:p>
        </w:tc>
        <w:tc>
          <w:tcPr>
            <w:tcW w:type="dxa" w:w="2455"/>
            <w:vAlign w:val="center"/>
          </w:tcPr>
          <w:p>
            <w:pPr>
              <w:spacing w:after="20"/>
            </w:pPr>
            <w:r>
              <w:rPr>
                <w:sz w:val="16"/>
              </w:rPr>
              <w:t>Technical Data Sheet (TDS), Certificate of Analysis (COA)</w:t>
            </w:r>
          </w:p>
        </w:tc>
        <w:tc>
          <w:tcPr>
            <w:tcW w:type="dxa" w:w="2455"/>
            <w:vAlign w:val="center"/>
          </w:tcPr>
          <w:p>
            <w:pPr>
              <w:spacing w:after="20"/>
            </w:pPr>
            <w:r>
              <w:rPr>
                <w:sz w:val="16"/>
              </w:rPr>
              <w:t>R where specified</w:t>
            </w:r>
          </w:p>
        </w:tc>
        <w:tc>
          <w:tcPr>
            <w:tcW w:type="dxa" w:w="2455"/>
            <w:vAlign w:val="center"/>
          </w:tcPr>
          <w:p>
            <w:pPr>
              <w:spacing w:after="20"/>
            </w:pPr>
            <w:r>
              <w:rPr>
                <w:sz w:val="16"/>
              </w:rPr>
              <w:t>File/date/version and material batch reference</w:t>
            </w:r>
          </w:p>
        </w:tc>
      </w:tr>
      <w:tr>
        <w:tc>
          <w:tcPr>
            <w:tcW w:type="dxa" w:w="2455"/>
            <w:vAlign w:val="center"/>
          </w:tcPr>
          <w:p>
            <w:pPr>
              <w:spacing w:after="20"/>
            </w:pPr>
            <w:r>
              <w:rPr>
                <w:sz w:val="16"/>
              </w:rPr>
              <w:t>QA documents</w:t>
            </w:r>
          </w:p>
        </w:tc>
        <w:tc>
          <w:tcPr>
            <w:tcW w:type="dxa" w:w="2455"/>
            <w:vAlign w:val="center"/>
          </w:tcPr>
          <w:p>
            <w:pPr>
              <w:spacing w:after="20"/>
            </w:pPr>
            <w:r>
              <w:rPr>
                <w:sz w:val="16"/>
              </w:rPr>
              <w:t>Test report / compliance certificate / SDS</w:t>
            </w:r>
          </w:p>
        </w:tc>
        <w:tc>
          <w:tcPr>
            <w:tcW w:type="dxa" w:w="2455"/>
            <w:vAlign w:val="center"/>
          </w:tcPr>
          <w:p>
            <w:pPr>
              <w:spacing w:after="20"/>
            </w:pPr>
            <w:r>
              <w:rPr>
                <w:sz w:val="16"/>
              </w:rPr>
              <w:t>C</w:t>
            </w:r>
          </w:p>
        </w:tc>
        <w:tc>
          <w:tcPr>
            <w:tcW w:type="dxa" w:w="2455"/>
            <w:vAlign w:val="center"/>
          </w:tcPr>
          <w:p>
            <w:pPr>
              <w:spacing w:after="20"/>
            </w:pPr>
            <w:r>
              <w:rPr>
                <w:sz w:val="16"/>
              </w:rPr>
              <w:t>SDS for chemical RM; standards when requested</w:t>
            </w:r>
          </w:p>
        </w:tc>
      </w:tr>
      <w:tr>
        <w:tc>
          <w:tcPr>
            <w:tcW w:type="dxa" w:w="2455"/>
            <w:vAlign w:val="center"/>
          </w:tcPr>
          <w:p>
            <w:pPr>
              <w:spacing w:after="20"/>
            </w:pPr>
            <w:r>
              <w:rPr>
                <w:sz w:val="16"/>
              </w:rPr>
              <w:t>Sample</w:t>
            </w:r>
          </w:p>
        </w:tc>
        <w:tc>
          <w:tcPr>
            <w:tcW w:type="dxa" w:w="2455"/>
            <w:vAlign w:val="center"/>
          </w:tcPr>
          <w:p>
            <w:pPr>
              <w:spacing w:after="20"/>
            </w:pPr>
            <w:r>
              <w:rPr>
                <w:sz w:val="16"/>
              </w:rPr>
              <w:t>Sample availability, quantity, dispatch date</w:t>
            </w:r>
          </w:p>
        </w:tc>
        <w:tc>
          <w:tcPr>
            <w:tcW w:type="dxa" w:w="2455"/>
            <w:vAlign w:val="center"/>
          </w:tcPr>
          <w:p>
            <w:pPr>
              <w:spacing w:after="20"/>
            </w:pPr>
            <w:r>
              <w:rPr>
                <w:sz w:val="16"/>
              </w:rPr>
              <w:t>R</w:t>
            </w:r>
          </w:p>
        </w:tc>
        <w:tc>
          <w:tcPr>
            <w:tcW w:type="dxa" w:w="2455"/>
            <w:vAlign w:val="center"/>
          </w:tcPr>
          <w:p>
            <w:pPr>
              <w:spacing w:after="20"/>
            </w:pPr>
            <w:r>
              <w:rPr>
                <w:sz w:val="16"/>
              </w:rPr>
              <w:t>Supports timely qualification</w:t>
            </w:r>
          </w:p>
        </w:tc>
      </w:tr>
      <w:tr>
        <w:tc>
          <w:tcPr>
            <w:tcW w:type="dxa" w:w="2455"/>
            <w:vAlign w:val="center"/>
          </w:tcPr>
          <w:p>
            <w:pPr>
              <w:spacing w:after="20"/>
            </w:pPr>
            <w:r>
              <w:rPr>
                <w:sz w:val="16"/>
              </w:rPr>
              <w:t>Sample</w:t>
            </w:r>
          </w:p>
        </w:tc>
        <w:tc>
          <w:tcPr>
            <w:tcW w:type="dxa" w:w="2455"/>
            <w:vAlign w:val="center"/>
          </w:tcPr>
          <w:p>
            <w:pPr>
              <w:spacing w:after="20"/>
            </w:pPr>
            <w:r>
              <w:rPr>
                <w:sz w:val="16"/>
              </w:rPr>
              <w:t>Sample cost and freight payer</w:t>
            </w:r>
          </w:p>
        </w:tc>
        <w:tc>
          <w:tcPr>
            <w:tcW w:type="dxa" w:w="2455"/>
            <w:vAlign w:val="center"/>
          </w:tcPr>
          <w:p>
            <w:pPr>
              <w:spacing w:after="20"/>
            </w:pPr>
            <w:r>
              <w:rPr>
                <w:sz w:val="16"/>
              </w:rPr>
              <w:t>C</w:t>
            </w:r>
          </w:p>
        </w:tc>
        <w:tc>
          <w:tcPr>
            <w:tcW w:type="dxa" w:w="2455"/>
            <w:vAlign w:val="center"/>
          </w:tcPr>
          <w:p>
            <w:pPr>
              <w:spacing w:after="20"/>
            </w:pPr>
            <w:r>
              <w:rPr>
                <w:sz w:val="16"/>
              </w:rPr>
              <w:t>Commercial clarity</w:t>
            </w:r>
          </w:p>
        </w:tc>
      </w:tr>
      <w:tr>
        <w:tc>
          <w:tcPr>
            <w:tcW w:type="dxa" w:w="2455"/>
            <w:vAlign w:val="center"/>
          </w:tcPr>
          <w:p>
            <w:pPr>
              <w:spacing w:after="20"/>
            </w:pPr>
            <w:r>
              <w:rPr>
                <w:sz w:val="16"/>
              </w:rPr>
              <w:t>Sample</w:t>
            </w:r>
          </w:p>
        </w:tc>
        <w:tc>
          <w:tcPr>
            <w:tcW w:type="dxa" w:w="2455"/>
            <w:vAlign w:val="center"/>
          </w:tcPr>
          <w:p>
            <w:pPr>
              <w:spacing w:after="20"/>
            </w:pPr>
            <w:r>
              <w:rPr>
                <w:sz w:val="16"/>
              </w:rPr>
              <w:t>Courier, AWB/tracking number, expected receipt</w:t>
            </w:r>
          </w:p>
        </w:tc>
        <w:tc>
          <w:tcPr>
            <w:tcW w:type="dxa" w:w="2455"/>
            <w:vAlign w:val="center"/>
          </w:tcPr>
          <w:p>
            <w:pPr>
              <w:spacing w:after="20"/>
            </w:pPr>
            <w:r>
              <w:rPr>
                <w:sz w:val="16"/>
              </w:rPr>
              <w:t>C</w:t>
            </w:r>
          </w:p>
        </w:tc>
        <w:tc>
          <w:tcPr>
            <w:tcW w:type="dxa" w:w="2455"/>
            <w:vAlign w:val="center"/>
          </w:tcPr>
          <w:p>
            <w:pPr>
              <w:spacing w:after="20"/>
            </w:pPr>
            <w:r>
              <w:rPr>
                <w:sz w:val="16"/>
              </w:rPr>
              <w:t>Required when dispatched</w:t>
            </w:r>
          </w:p>
        </w:tc>
      </w:tr>
      <w:tr>
        <w:tc>
          <w:tcPr>
            <w:tcW w:type="dxa" w:w="2455"/>
            <w:vAlign w:val="center"/>
          </w:tcPr>
          <w:p>
            <w:pPr>
              <w:spacing w:after="20"/>
            </w:pPr>
            <w:r>
              <w:rPr>
                <w:sz w:val="16"/>
              </w:rPr>
              <w:t>Performance</w:t>
            </w:r>
          </w:p>
        </w:tc>
        <w:tc>
          <w:tcPr>
            <w:tcW w:type="dxa" w:w="2455"/>
            <w:vAlign w:val="center"/>
          </w:tcPr>
          <w:p>
            <w:pPr>
              <w:spacing w:after="20"/>
            </w:pPr>
            <w:r>
              <w:rPr>
                <w:sz w:val="16"/>
              </w:rPr>
              <w:t>Production capacity / stock available</w:t>
            </w:r>
          </w:p>
        </w:tc>
        <w:tc>
          <w:tcPr>
            <w:tcW w:type="dxa" w:w="2455"/>
            <w:vAlign w:val="center"/>
          </w:tcPr>
          <w:p>
            <w:pPr>
              <w:spacing w:after="20"/>
            </w:pPr>
            <w:r>
              <w:rPr>
                <w:sz w:val="16"/>
              </w:rPr>
              <w:t>C</w:t>
            </w:r>
          </w:p>
        </w:tc>
        <w:tc>
          <w:tcPr>
            <w:tcW w:type="dxa" w:w="2455"/>
            <w:vAlign w:val="center"/>
          </w:tcPr>
          <w:p>
            <w:pPr>
              <w:spacing w:after="20"/>
            </w:pPr>
            <w:r>
              <w:rPr>
                <w:sz w:val="16"/>
              </w:rPr>
              <w:t>Supply continuity</w:t>
            </w:r>
          </w:p>
        </w:tc>
      </w:tr>
      <w:tr>
        <w:tc>
          <w:tcPr>
            <w:tcW w:type="dxa" w:w="2455"/>
            <w:vAlign w:val="center"/>
          </w:tcPr>
          <w:p>
            <w:pPr>
              <w:spacing w:after="20"/>
            </w:pPr>
            <w:r>
              <w:rPr>
                <w:sz w:val="16"/>
              </w:rPr>
              <w:t>Performance</w:t>
            </w:r>
          </w:p>
        </w:tc>
        <w:tc>
          <w:tcPr>
            <w:tcW w:type="dxa" w:w="2455"/>
            <w:vAlign w:val="center"/>
          </w:tcPr>
          <w:p>
            <w:pPr>
              <w:spacing w:after="20"/>
            </w:pPr>
            <w:r>
              <w:rPr>
                <w:sz w:val="16"/>
              </w:rPr>
              <w:t>Claims, replacement, warranty policy</w:t>
            </w:r>
          </w:p>
        </w:tc>
        <w:tc>
          <w:tcPr>
            <w:tcW w:type="dxa" w:w="2455"/>
            <w:vAlign w:val="center"/>
          </w:tcPr>
          <w:p>
            <w:pPr>
              <w:spacing w:after="20"/>
            </w:pPr>
            <w:r>
              <w:rPr>
                <w:sz w:val="16"/>
              </w:rPr>
              <w:t>R</w:t>
            </w:r>
          </w:p>
        </w:tc>
        <w:tc>
          <w:tcPr>
            <w:tcW w:type="dxa" w:w="2455"/>
            <w:vAlign w:val="center"/>
          </w:tcPr>
          <w:p>
            <w:pPr>
              <w:spacing w:after="20"/>
            </w:pPr>
            <w:r>
              <w:rPr>
                <w:sz w:val="16"/>
              </w:rPr>
              <w:t>Defects/rejections allocation</w:t>
            </w:r>
          </w:p>
        </w:tc>
      </w:tr>
      <w:tr>
        <w:tc>
          <w:tcPr>
            <w:tcW w:type="dxa" w:w="2455"/>
            <w:vAlign w:val="center"/>
          </w:tcPr>
          <w:p>
            <w:pPr>
              <w:spacing w:after="20"/>
            </w:pPr>
            <w:r>
              <w:rPr>
                <w:sz w:val="16"/>
              </w:rPr>
              <w:t>Declaration</w:t>
            </w:r>
          </w:p>
        </w:tc>
        <w:tc>
          <w:tcPr>
            <w:tcW w:type="dxa" w:w="2455"/>
            <w:vAlign w:val="center"/>
          </w:tcPr>
          <w:p>
            <w:pPr>
              <w:spacing w:after="20"/>
            </w:pPr>
            <w:r>
              <w:rPr>
                <w:sz w:val="16"/>
              </w:rPr>
              <w:t>Compliance with RFQ specs / exception list</w:t>
            </w:r>
          </w:p>
        </w:tc>
        <w:tc>
          <w:tcPr>
            <w:tcW w:type="dxa" w:w="2455"/>
            <w:vAlign w:val="center"/>
          </w:tcPr>
          <w:p>
            <w:pPr>
              <w:spacing w:after="20"/>
            </w:pPr>
            <w:r>
              <w:rPr>
                <w:sz w:val="16"/>
              </w:rPr>
              <w:t>R</w:t>
            </w:r>
          </w:p>
        </w:tc>
        <w:tc>
          <w:tcPr>
            <w:tcW w:type="dxa" w:w="2455"/>
            <w:vAlign w:val="center"/>
          </w:tcPr>
          <w:p>
            <w:pPr>
              <w:spacing w:after="20"/>
            </w:pPr>
            <w:r>
              <w:rPr>
                <w:sz w:val="16"/>
              </w:rPr>
              <w:t>Explicit deviations rather than silent acceptance</w:t>
            </w:r>
          </w:p>
        </w:tc>
      </w:tr>
      <w:tr>
        <w:tc>
          <w:tcPr>
            <w:tcW w:type="dxa" w:w="2455"/>
            <w:vAlign w:val="center"/>
          </w:tcPr>
          <w:p>
            <w:pPr>
              <w:spacing w:after="20"/>
            </w:pPr>
            <w:r>
              <w:rPr>
                <w:sz w:val="16"/>
              </w:rPr>
              <w:t>Declaration</w:t>
            </w:r>
          </w:p>
        </w:tc>
        <w:tc>
          <w:tcPr>
            <w:tcW w:type="dxa" w:w="2455"/>
            <w:vAlign w:val="center"/>
          </w:tcPr>
          <w:p>
            <w:pPr>
              <w:spacing w:after="20"/>
            </w:pPr>
            <w:r>
              <w:rPr>
                <w:sz w:val="16"/>
              </w:rPr>
              <w:t>Authorized name, timestamp and acceptance</w:t>
            </w:r>
          </w:p>
        </w:tc>
        <w:tc>
          <w:tcPr>
            <w:tcW w:type="dxa" w:w="2455"/>
            <w:vAlign w:val="center"/>
          </w:tcPr>
          <w:p>
            <w:pPr>
              <w:spacing w:after="20"/>
            </w:pPr>
            <w:r>
              <w:rPr>
                <w:sz w:val="16"/>
              </w:rPr>
              <w:t>R</w:t>
            </w:r>
          </w:p>
        </w:tc>
        <w:tc>
          <w:tcPr>
            <w:tcW w:type="dxa" w:w="2455"/>
            <w:vAlign w:val="center"/>
          </w:tcPr>
          <w:p>
            <w:pPr>
              <w:spacing w:after="20"/>
            </w:pPr>
            <w:r>
              <w:rPr>
                <w:sz w:val="16"/>
              </w:rPr>
              <w:t>Digital submission record</w:t>
            </w:r>
          </w:p>
        </w:tc>
      </w:tr>
    </w:tbl>
    <w:p>
      <w:pPr>
        <w:spacing w:after="20"/>
      </w:pPr>
    </w:p>
    <w:p>
      <w:r>
        <w:rPr>
          <w:b/>
          <w:i w:val="0"/>
        </w:rPr>
        <w:t>User interface requirements:</w:t>
      </w:r>
      <w:r>
        <w:t xml:space="preserve"> grouped tabs (</w:t>
      </w:r>
      <w:r>
        <w:t>Company</w:t>
      </w:r>
      <w:r>
        <w:t xml:space="preserve">, </w:t>
      </w:r>
      <w:r>
        <w:t>Commercial</w:t>
      </w:r>
      <w:r>
        <w:t xml:space="preserve">, </w:t>
      </w:r>
      <w:r>
        <w:t>Technical</w:t>
      </w:r>
      <w:r>
        <w:t xml:space="preserve">, </w:t>
      </w:r>
      <w:r>
        <w:t>Delivery &amp; Packing</w:t>
      </w:r>
      <w:r>
        <w:t xml:space="preserve">, </w:t>
      </w:r>
      <w:r>
        <w:t>Sample &amp; Documents</w:t>
      </w:r>
      <w:r>
        <w:t xml:space="preserve">, </w:t>
      </w:r>
      <w:r>
        <w:t>Review &amp; Submit</w:t>
      </w:r>
      <w:r>
        <w:t>); item-wise specification template; inline validation; controlled dropdowns and units; save draft; attachments; printable submission receipt; revision history; mobile-friendly layout; supplier-specific language/timezone labels.</w:t>
      </w:r>
    </w:p>
    <w:p>
      <w:r>
        <w:rPr>
          <w:b/>
          <w:i w:val="0"/>
        </w:rPr>
        <w:t>Recommended file controls:</w:t>
      </w:r>
      <w:r>
        <w:t xml:space="preserve"> permitted PDF/XLSX/JPG/PNG for appropriate uses; configurable size limits; malware scanning; download authorizations; virus/quarantine outcome logging.</w:t>
      </w:r>
    </w:p>
    <w:p/>
    <w:p>
      <w:pPr>
        <w:pStyle w:val="Heading2"/>
      </w:pPr>
      <w:r>
        <w:t>6. China RFQ deadline engine and secure link expiry</w:t>
      </w:r>
    </w:p>
    <w:p>
      <w:pPr>
        <w:spacing w:after="40"/>
        <w:jc w:val="center"/>
      </w:pPr>
      <w:r>
        <w:drawing>
          <wp:inline xmlns:a="http://schemas.openxmlformats.org/drawingml/2006/main" xmlns:pic="http://schemas.openxmlformats.org/drawingml/2006/picture">
            <wp:extent cx="5989320" cy="5472136"/>
            <wp:docPr id="2" name="Picture 2"/>
            <wp:cNvGraphicFramePr>
              <a:graphicFrameLocks noChangeAspect="1"/>
            </wp:cNvGraphicFramePr>
            <a:graphic>
              <a:graphicData uri="http://schemas.openxmlformats.org/drawingml/2006/picture">
                <pic:pic>
                  <pic:nvPicPr>
                    <pic:cNvPr id="0" name="02_rfq.png"/>
                    <pic:cNvPicPr/>
                  </pic:nvPicPr>
                  <pic:blipFill>
                    <a:blip r:embed="rId12"/>
                    <a:stretch>
                      <a:fillRect/>
                    </a:stretch>
                  </pic:blipFill>
                  <pic:spPr>
                    <a:xfrm>
                      <a:off x="0" y="0"/>
                      <a:ext cx="5989320" cy="5472136"/>
                    </a:xfrm>
                    <a:prstGeom prst="rect"/>
                  </pic:spPr>
                </pic:pic>
              </a:graphicData>
            </a:graphic>
          </wp:inline>
        </w:drawing>
      </w:r>
    </w:p>
    <w:p>
      <w:pPr>
        <w:pStyle w:val="Caption"/>
        <w:jc w:val="center"/>
      </w:pPr>
      <w:r>
        <w:t>Figure 2. RFQ publication, supplier response and expiry/extension decision</w:t>
      </w:r>
    </w:p>
    <w:p>
      <w:r>
        <w:rPr>
          <w:b/>
          <w:i w:val="0"/>
        </w:rPr>
        <w:t>Default business policy proposal:</w:t>
      </w:r>
      <w:r>
        <w:t xml:space="preserve"> standard RFQ = </w:t>
      </w:r>
      <w:r>
        <w:rPr>
          <w:b/>
          <w:i w:val="0"/>
        </w:rPr>
        <w:t>3 China working days</w:t>
      </w:r>
      <w:r>
        <w:t xml:space="preserve">; urgent RFQ = </w:t>
      </w:r>
      <w:r>
        <w:rPr>
          <w:b/>
          <w:i w:val="0"/>
        </w:rPr>
        <w:t>2 China working days</w:t>
      </w:r>
      <w:r>
        <w:t xml:space="preserve">, with authorized reason; counting begins from the </w:t>
      </w:r>
      <w:r>
        <w:rPr>
          <w:b/>
          <w:i w:val="0"/>
        </w:rPr>
        <w:t>next China working day after invitation/publish</w:t>
      </w:r>
      <w:r>
        <w:t xml:space="preserve">; close at </w:t>
      </w:r>
      <w:r>
        <w:rPr>
          <w:b/>
          <w:i w:val="0"/>
        </w:rPr>
        <w:t>17:00 China Standard Time (Asia/Shanghai)</w:t>
      </w:r>
      <w:r>
        <w:t xml:space="preserve"> on the last counted working day. These values should be configuration, not hard-coded policy.</w:t>
      </w:r>
    </w:p>
    <w:p>
      <w:pPr>
        <w:pStyle w:val="ListNumber"/>
      </w:pPr>
      <w:r>
        <w:t>Confirm supplier's country and assigned work calendar (</w:t>
      </w:r>
      <w:r>
        <w:t>CN</w:t>
      </w:r>
      <w:r>
        <w:t xml:space="preserve"> by default for China-based supplier).</w:t>
      </w:r>
    </w:p>
    <w:p>
      <w:pPr>
        <w:pStyle w:val="ListNumber"/>
      </w:pPr>
      <w:r>
        <w:t xml:space="preserve">Calendar includes Chinese public holidays </w:t>
      </w:r>
      <w:r>
        <w:rPr>
          <w:b/>
          <w:i w:val="0"/>
        </w:rPr>
        <w:t>and officially designated weekend make-up workdays</w:t>
      </w:r>
      <w:r>
        <w:t>; yearly source data are maintained/verified by an administrator before use.</w:t>
      </w:r>
    </w:p>
    <w:p>
      <w:pPr>
        <w:pStyle w:val="ListNumber"/>
      </w:pPr>
      <w:r>
        <w:t xml:space="preserve">Convert all local display times to/from a UTC database timestamp; China CST here means </w:t>
      </w:r>
      <w:r>
        <w:rPr>
          <w:b/>
          <w:i w:val="0"/>
        </w:rPr>
        <w:t>China Standard Time</w:t>
      </w:r>
      <w:r>
        <w:t>, not US Central Standard Time.</w:t>
      </w:r>
    </w:p>
    <w:p>
      <w:pPr>
        <w:pStyle w:val="ListNumber"/>
      </w:pPr>
      <w:r>
        <w:t xml:space="preserve">Calculate </w:t>
      </w:r>
      <w:r>
        <w:t>closing_date = Nth eligible working date after RFQ issue date</w:t>
      </w:r>
      <w:r>
        <w:t xml:space="preserve"> under the proposed counting convention; apply configured closing hour.</w:t>
      </w:r>
    </w:p>
    <w:p>
      <w:pPr>
        <w:pStyle w:val="ListNumber"/>
      </w:pPr>
      <w:r>
        <w:t>Display exact deadline in China time and OIL/Bangladesh time, with timezone name and UTC offset.</w:t>
      </w:r>
    </w:p>
    <w:p>
      <w:pPr>
        <w:pStyle w:val="ListNumber"/>
      </w:pPr>
      <w:r>
        <w:t xml:space="preserve">Send reminder, proposed </w:t>
      </w:r>
      <w:r>
        <w:rPr>
          <w:b/>
          <w:i w:val="0"/>
        </w:rPr>
        <w:t>one China working day before close</w:t>
      </w:r>
      <w:r>
        <w:t xml:space="preserve"> to non-submitters.</w:t>
      </w:r>
    </w:p>
    <w:p>
      <w:pPr>
        <w:pStyle w:val="ListNumber"/>
      </w:pPr>
      <w:r>
        <w:t>At cutoff, revoke final-submit ability; preserve already submitted records; drafts remain historical but unsubmitted.</w:t>
      </w:r>
    </w:p>
    <w:p>
      <w:pPr>
        <w:pStyle w:val="ListNumber"/>
      </w:pPr>
      <w:r>
        <w:t>Authorized extension requires revised due date, explanation and approver; notify supplier of the change and record original deadline.</w:t>
      </w:r>
    </w:p>
    <w:p>
      <w:pPr>
        <w:pStyle w:val="ListNumber"/>
      </w:pPr>
      <w:r>
        <w:t>If country differs from China, use corresponding approved country calendar; do not assume a global Monday–Friday calendar.</w:t>
      </w:r>
    </w:p>
    <w:p>
      <w:pPr>
        <w:pStyle w:val="ListNumber"/>
      </w:pPr>
      <w:r>
        <w:t xml:space="preserve">If holiday/calendar feed is unavailable, </w:t>
      </w:r>
      <w:r>
        <w:rPr>
          <w:b/>
          <w:i w:val="0"/>
        </w:rPr>
        <w:t>block uncertain deadline publication and alert Procurement</w:t>
      </w:r>
      <w:r>
        <w:t xml:space="preserve"> instead of silently computing a possibly wrong cutoff.</w:t>
      </w:r>
    </w:p>
    <w:p>
      <w:r>
        <w:rPr>
          <w:b/>
          <w:i w:val="0"/>
        </w:rPr>
        <w:t>Example (illustrative, not a live computed statutory-calendar deadline):</w:t>
      </w:r>
      <w:r>
        <w:t xml:space="preserve"> If a China supplier is invited on a Monday and Tuesday–Thursday are confirmed working days, a three-working-day response closes Thursday at 17:00 China time (15:00 Bangladesh time). An official holiday or make-up working day may change this calculation.</w:t>
      </w:r>
    </w:p>
    <w:p>
      <w:pPr>
        <w:pStyle w:val="Heading3"/>
      </w:pPr>
      <w:r>
        <w:t>Link security and submission states</w:t>
      </w:r>
    </w:p>
    <w:p>
      <w:r>
        <w:t>Invitation queued → Sent → Viewed → Draft started → Submitted</w:t>
      </w:r>
      <w:r>
        <w:t xml:space="preserve"> OR </w:t>
      </w:r>
      <w:r>
        <w:t>Not submitted → Expired</w:t>
      </w:r>
      <w:r>
        <w:t xml:space="preserve"> OR </w:t>
      </w:r>
      <w:r>
        <w:t>Deadline extended → Submitted</w:t>
      </w:r>
      <w:r>
        <w:t>. Token theft mitigation should include token hashing, short-lived or vendor-bound validation, HTTPS, rate limits, optional email OTP, and sensitive action logging. The supplier must never view other suppliers' bids.</w:t>
      </w:r>
    </w:p>
    <w:p/>
    <w:p>
      <w:pPr>
        <w:pStyle w:val="Heading2"/>
      </w:pPr>
      <w:r>
        <w:t>7. Comparative statement and supplier scoring</w:t>
      </w:r>
    </w:p>
    <w:p>
      <w:pPr>
        <w:spacing w:after="40"/>
        <w:jc w:val="center"/>
      </w:pPr>
      <w:r>
        <w:drawing>
          <wp:inline xmlns:a="http://schemas.openxmlformats.org/drawingml/2006/main" xmlns:pic="http://schemas.openxmlformats.org/drawingml/2006/picture">
            <wp:extent cx="5989320" cy="5999497"/>
            <wp:docPr id="3" name="Picture 3"/>
            <wp:cNvGraphicFramePr>
              <a:graphicFrameLocks noChangeAspect="1"/>
            </wp:cNvGraphicFramePr>
            <a:graphic>
              <a:graphicData uri="http://schemas.openxmlformats.org/drawingml/2006/picture">
                <pic:pic>
                  <pic:nvPicPr>
                    <pic:cNvPr id="0" name="03_supplier.png"/>
                    <pic:cNvPicPr/>
                  </pic:nvPicPr>
                  <pic:blipFill>
                    <a:blip r:embed="rId13"/>
                    <a:stretch>
                      <a:fillRect/>
                    </a:stretch>
                  </pic:blipFill>
                  <pic:spPr>
                    <a:xfrm>
                      <a:off x="0" y="0"/>
                      <a:ext cx="5989320" cy="5999497"/>
                    </a:xfrm>
                    <a:prstGeom prst="rect"/>
                  </pic:spPr>
                </pic:pic>
              </a:graphicData>
            </a:graphic>
          </wp:inline>
        </w:drawing>
      </w:r>
    </w:p>
    <w:p>
      <w:pPr>
        <w:pStyle w:val="Caption"/>
        <w:jc w:val="center"/>
      </w:pPr>
      <w:r>
        <w:t>Figure 3. Quality qualification and commercial evaluation</w:t>
      </w:r>
    </w:p>
    <w:p>
      <w:pPr>
        <w:pStyle w:val="Heading3"/>
      </w:pPr>
      <w:r>
        <w:t>Mandatory comparison dimensions</w:t>
      </w:r>
    </w:p>
    <w:p>
      <w:pPr>
        <w:pStyle w:val="ListBullet"/>
      </w:pPr>
      <w:r>
        <w:t xml:space="preserve">Price </w:t>
      </w:r>
      <w:r>
        <w:rPr>
          <w:b/>
          <w:i w:val="0"/>
        </w:rPr>
        <w:t>per normalized UOM</w:t>
      </w:r>
      <w:r>
        <w:t xml:space="preserve"> and quoted currency; FX source/date; total offer price.</w:t>
      </w:r>
    </w:p>
    <w:p>
      <w:pPr>
        <w:pStyle w:val="ListBullet"/>
      </w:pPr>
      <w:r>
        <w:t xml:space="preserve">Estimated freight, insurance, bank charges, customs/tax and inland costs, if applicable, shown as </w:t>
      </w:r>
      <w:r>
        <w:rPr>
          <w:b w:val="0"/>
          <w:i/>
        </w:rPr>
        <w:t>estimated</w:t>
      </w:r>
      <w:r>
        <w:t xml:space="preserve"> until confirmed.</w:t>
      </w:r>
    </w:p>
    <w:p>
      <w:pPr>
        <w:pStyle w:val="ListBullet"/>
      </w:pPr>
      <w:r>
        <w:t>Incoterms/named port, payment terms, working capital requirements and quote validity.</w:t>
      </w:r>
    </w:p>
    <w:p>
      <w:pPr>
        <w:pStyle w:val="ListBullet"/>
      </w:pPr>
      <w:r>
        <w:t>Specifications and test compliance, sample status, MOQ, available stock, production/dispatch timing.</w:t>
      </w:r>
    </w:p>
    <w:p>
      <w:pPr>
        <w:pStyle w:val="ListBullet"/>
      </w:pPr>
      <w:r>
        <w:t>Vendor history: delivery reliability, quality complaints/replacement responsiveness, capacity and documentation performance.</w:t>
      </w:r>
    </w:p>
    <w:p>
      <w:pPr>
        <w:pStyle w:val="ListBullet"/>
      </w:pPr>
      <w:r>
        <w:t>Deviations to spec, quality and commercial conditions, and unresolved risks.</w:t>
      </w:r>
    </w:p>
    <w:p>
      <w:pPr>
        <w:pStyle w:val="Heading3"/>
      </w:pPr>
      <w:r>
        <w:t>Suggested decision logic (policy subject to approval)</w:t>
      </w:r>
    </w:p>
    <w:p>
      <w:pPr>
        <w:pStyle w:val="ListNumber"/>
      </w:pPr>
      <w:r>
        <w:rPr>
          <w:b/>
          <w:i w:val="0"/>
        </w:rPr>
        <w:t>Gate 1: Eligibility</w:t>
      </w:r>
      <w:r>
        <w:t xml:space="preserve"> — active/compliant supplier, quote received by valid deadline.</w:t>
      </w:r>
    </w:p>
    <w:p>
      <w:pPr>
        <w:pStyle w:val="ListNumber"/>
      </w:pPr>
      <w:r>
        <w:rPr>
          <w:b/>
          <w:i w:val="0"/>
        </w:rPr>
        <w:t>Gate 2: Technical qualification</w:t>
      </w:r>
      <w:r>
        <w:t xml:space="preserve"> — tested pass or formally approved deviation/waiver.</w:t>
      </w:r>
    </w:p>
    <w:p>
      <w:pPr>
        <w:pStyle w:val="ListNumber"/>
      </w:pPr>
      <w:r>
        <w:rPr>
          <w:b/>
          <w:i w:val="0"/>
        </w:rPr>
        <w:t>Gate 3: Commercial comparison</w:t>
      </w:r>
      <w:r>
        <w:t xml:space="preserve"> — landed cost, payment exposure and on-time supply.</w:t>
      </w:r>
    </w:p>
    <w:p>
      <w:pPr>
        <w:pStyle w:val="ListNumber"/>
      </w:pPr>
      <w:r>
        <w:rPr>
          <w:b/>
          <w:i w:val="0"/>
        </w:rPr>
        <w:t>Gate 4: Procurement recommendation</w:t>
      </w:r>
      <w:r>
        <w:t xml:space="preserve"> — preferred supplier with rationale and alternative.</w:t>
      </w:r>
    </w:p>
    <w:p>
      <w:pPr>
        <w:pStyle w:val="ListNumber"/>
      </w:pPr>
      <w:r>
        <w:rPr>
          <w:b/>
          <w:i w:val="0"/>
        </w:rPr>
        <w:t>Gate 5: Sequential approval</w:t>
      </w:r>
      <w:r>
        <w:t xml:space="preserve"> — Marketing ACK → Finance APP → ED/Final APP.</w:t>
      </w:r>
    </w:p>
    <w:p>
      <w:r>
        <w:t xml:space="preserve">A sample optional weighted score is </w:t>
      </w:r>
      <w:r>
        <w:rPr>
          <w:b/>
          <w:i w:val="0"/>
        </w:rPr>
        <w:t>Cost 35%, Technical &amp; Quality 30%, Delivery 20%, Commercial Terms 10%, Supplier History 5%</w:t>
      </w:r>
      <w:r>
        <w:t xml:space="preserve">; </w:t>
      </w:r>
      <w:r>
        <w:rPr>
          <w:b w:val="0"/>
          <w:i/>
        </w:rPr>
        <w:t>these percentages are illustrative only</w:t>
      </w:r>
      <w:r>
        <w:t>, must be approved before deployment and cannot override mandatory QA rejection gates.</w:t>
      </w:r>
    </w:p>
    <w:p>
      <w:r>
        <w:rPr>
          <w:b/>
          <w:i w:val="0"/>
        </w:rPr>
        <w:t>Negotiated savings:</w:t>
      </w:r>
      <w:r>
        <w:t xml:space="preserve"> where meaningful, show </w:t>
      </w:r>
      <w:r>
        <w:t>(baseline comparable landed cost − final comparable landed cost)</w:t>
      </w:r>
      <w:r>
        <w:t xml:space="preserve"> separately from budget savings. Keep exchange-rate effects and quantity changes visible rather than incorrectly attributing them to negotiation.</w:t>
      </w:r>
    </w:p>
    <w:p/>
    <w:p>
      <w:pPr>
        <w:pStyle w:val="Heading2"/>
      </w:pPr>
      <w:r>
        <w:t>8. Approval authority and change governance</w:t>
      </w:r>
    </w:p>
    <w:p>
      <w:pPr>
        <w:spacing w:after="40"/>
        <w:jc w:val="center"/>
      </w:pPr>
      <w:r>
        <w:drawing>
          <wp:inline xmlns:a="http://schemas.openxmlformats.org/drawingml/2006/main" xmlns:pic="http://schemas.openxmlformats.org/drawingml/2006/picture">
            <wp:extent cx="5989320" cy="5026943"/>
            <wp:docPr id="4" name="Picture 4"/>
            <wp:cNvGraphicFramePr>
              <a:graphicFrameLocks noChangeAspect="1"/>
            </wp:cNvGraphicFramePr>
            <a:graphic>
              <a:graphicData uri="http://schemas.openxmlformats.org/drawingml/2006/picture">
                <pic:pic>
                  <pic:nvPicPr>
                    <pic:cNvPr id="0" name="04_approval.png"/>
                    <pic:cNvPicPr/>
                  </pic:nvPicPr>
                  <pic:blipFill>
                    <a:blip r:embed="rId14"/>
                    <a:stretch>
                      <a:fillRect/>
                    </a:stretch>
                  </pic:blipFill>
                  <pic:spPr>
                    <a:xfrm>
                      <a:off x="0" y="0"/>
                      <a:ext cx="5989320" cy="5026943"/>
                    </a:xfrm>
                    <a:prstGeom prst="rect"/>
                  </pic:spPr>
                </pic:pic>
              </a:graphicData>
            </a:graphic>
          </wp:inline>
        </w:drawing>
      </w:r>
    </w:p>
    <w:p>
      <w:pPr>
        <w:pStyle w:val="Caption"/>
        <w:jc w:val="center"/>
      </w:pPr>
      <w:r>
        <w:t>Figure 4. Sequential approval gates and return logic</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rPr>
          <w:tblHeader w:val="true"/>
        </w:trPr>
        <w:tc>
          <w:tcPr>
            <w:tcW w:type="dxa" w:w="1964"/>
            <w:vAlign w:val="center"/>
            <w:shd w:fill="DDF1F1"/>
          </w:tcPr>
          <w:p>
            <w:pPr>
              <w:spacing w:after="20"/>
            </w:pPr>
            <w:r>
              <w:rPr>
                <w:b/>
                <w:sz w:val="15"/>
              </w:rPr>
              <w:t>Sequence</w:t>
            </w:r>
          </w:p>
        </w:tc>
        <w:tc>
          <w:tcPr>
            <w:tcW w:type="dxa" w:w="1964"/>
            <w:vAlign w:val="center"/>
            <w:shd w:fill="DDF1F1"/>
          </w:tcPr>
          <w:p>
            <w:pPr>
              <w:spacing w:after="20"/>
            </w:pPr>
            <w:r>
              <w:rPr>
                <w:b/>
                <w:sz w:val="15"/>
              </w:rPr>
              <w:t>Approval</w:t>
            </w:r>
          </w:p>
        </w:tc>
        <w:tc>
          <w:tcPr>
            <w:tcW w:type="dxa" w:w="1964"/>
            <w:vAlign w:val="center"/>
            <w:shd w:fill="DDF1F1"/>
          </w:tcPr>
          <w:p>
            <w:pPr>
              <w:spacing w:after="20"/>
            </w:pPr>
            <w:r>
              <w:rPr>
                <w:b/>
                <w:sz w:val="15"/>
              </w:rPr>
              <w:t>Primary decision</w:t>
            </w:r>
          </w:p>
        </w:tc>
        <w:tc>
          <w:tcPr>
            <w:tcW w:type="dxa" w:w="1964"/>
            <w:vAlign w:val="center"/>
            <w:shd w:fill="DDF1F1"/>
          </w:tcPr>
          <w:p>
            <w:pPr>
              <w:spacing w:after="20"/>
            </w:pPr>
            <w:r>
              <w:rPr>
                <w:b/>
                <w:sz w:val="15"/>
              </w:rPr>
              <w:t>Evidence expected</w:t>
            </w:r>
          </w:p>
        </w:tc>
        <w:tc>
          <w:tcPr>
            <w:tcW w:type="dxa" w:w="1964"/>
            <w:vAlign w:val="center"/>
            <w:shd w:fill="DDF1F1"/>
          </w:tcPr>
          <w:p>
            <w:pPr>
              <w:spacing w:after="20"/>
            </w:pPr>
            <w:r>
              <w:rPr>
                <w:b/>
                <w:sz w:val="15"/>
              </w:rPr>
              <w:t>Return path</w:t>
            </w:r>
          </w:p>
        </w:tc>
      </w:tr>
      <w:tr>
        <w:tc>
          <w:tcPr>
            <w:tcW w:type="dxa" w:w="1964"/>
            <w:vAlign w:val="center"/>
          </w:tcPr>
          <w:p>
            <w:pPr>
              <w:spacing w:after="20"/>
            </w:pPr>
            <w:r>
              <w:rPr>
                <w:sz w:val="15"/>
              </w:rPr>
              <w:t>15</w:t>
            </w:r>
          </w:p>
        </w:tc>
        <w:tc>
          <w:tcPr>
            <w:tcW w:type="dxa" w:w="1964"/>
            <w:vAlign w:val="center"/>
          </w:tcPr>
          <w:p>
            <w:pPr>
              <w:spacing w:after="20"/>
            </w:pPr>
            <w:r>
              <w:rPr>
                <w:sz w:val="15"/>
              </w:rPr>
              <w:t>Marketing ACK</w:t>
            </w:r>
          </w:p>
        </w:tc>
        <w:tc>
          <w:tcPr>
            <w:tcW w:type="dxa" w:w="1964"/>
            <w:vAlign w:val="center"/>
          </w:tcPr>
          <w:p>
            <w:pPr>
              <w:spacing w:after="20"/>
            </w:pPr>
            <w:r>
              <w:rPr>
                <w:sz w:val="15"/>
              </w:rPr>
              <w:t>Need/quantity/spec/sample suitability</w:t>
            </w:r>
          </w:p>
        </w:tc>
        <w:tc>
          <w:tcPr>
            <w:tcW w:type="dxa" w:w="1964"/>
            <w:vAlign w:val="center"/>
          </w:tcPr>
          <w:p>
            <w:pPr>
              <w:spacing w:after="20"/>
            </w:pPr>
            <w:r>
              <w:rPr>
                <w:sz w:val="15"/>
              </w:rPr>
              <w:t>PR, technical result, CS, proposed delivery</w:t>
            </w:r>
          </w:p>
        </w:tc>
        <w:tc>
          <w:tcPr>
            <w:tcW w:type="dxa" w:w="1964"/>
            <w:vAlign w:val="center"/>
          </w:tcPr>
          <w:p>
            <w:pPr>
              <w:spacing w:after="20"/>
            </w:pPr>
            <w:r>
              <w:rPr>
                <w:sz w:val="15"/>
              </w:rPr>
              <w:t>Procurement negotiation / QA</w:t>
            </w:r>
          </w:p>
        </w:tc>
      </w:tr>
      <w:tr>
        <w:tc>
          <w:tcPr>
            <w:tcW w:type="dxa" w:w="1964"/>
            <w:vAlign w:val="center"/>
          </w:tcPr>
          <w:p>
            <w:pPr>
              <w:spacing w:after="20"/>
            </w:pPr>
            <w:r>
              <w:rPr>
                <w:sz w:val="15"/>
              </w:rPr>
              <w:t>16</w:t>
            </w:r>
          </w:p>
        </w:tc>
        <w:tc>
          <w:tcPr>
            <w:tcW w:type="dxa" w:w="1964"/>
            <w:vAlign w:val="center"/>
          </w:tcPr>
          <w:p>
            <w:pPr>
              <w:spacing w:after="20"/>
            </w:pPr>
            <w:r>
              <w:rPr>
                <w:sz w:val="15"/>
              </w:rPr>
              <w:t>Finance APP</w:t>
            </w:r>
          </w:p>
        </w:tc>
        <w:tc>
          <w:tcPr>
            <w:tcW w:type="dxa" w:w="1964"/>
            <w:vAlign w:val="center"/>
          </w:tcPr>
          <w:p>
            <w:pPr>
              <w:spacing w:after="20"/>
            </w:pPr>
            <w:r>
              <w:rPr>
                <w:sz w:val="15"/>
              </w:rPr>
              <w:t>Affordability, cost, exposure, payment terms</w:t>
            </w:r>
          </w:p>
        </w:tc>
        <w:tc>
          <w:tcPr>
            <w:tcW w:type="dxa" w:w="1964"/>
            <w:vAlign w:val="center"/>
          </w:tcPr>
          <w:p>
            <w:pPr>
              <w:spacing w:after="20"/>
            </w:pPr>
            <w:r>
              <w:rPr>
                <w:sz w:val="15"/>
              </w:rPr>
              <w:t>Landed-cost sheet, budget, FX, LC/TT/advance implications</w:t>
            </w:r>
          </w:p>
        </w:tc>
        <w:tc>
          <w:tcPr>
            <w:tcW w:type="dxa" w:w="1964"/>
            <w:vAlign w:val="center"/>
          </w:tcPr>
          <w:p>
            <w:pPr>
              <w:spacing w:after="20"/>
            </w:pPr>
            <w:r>
              <w:rPr>
                <w:sz w:val="15"/>
              </w:rPr>
              <w:t>Procurement for revision</w:t>
            </w:r>
          </w:p>
        </w:tc>
      </w:tr>
      <w:tr>
        <w:tc>
          <w:tcPr>
            <w:tcW w:type="dxa" w:w="1964"/>
            <w:vAlign w:val="center"/>
          </w:tcPr>
          <w:p>
            <w:pPr>
              <w:spacing w:after="20"/>
            </w:pPr>
            <w:r>
              <w:rPr>
                <w:sz w:val="15"/>
              </w:rPr>
              <w:t>17</w:t>
            </w:r>
          </w:p>
        </w:tc>
        <w:tc>
          <w:tcPr>
            <w:tcW w:type="dxa" w:w="1964"/>
            <w:vAlign w:val="center"/>
          </w:tcPr>
          <w:p>
            <w:pPr>
              <w:spacing w:after="20"/>
            </w:pPr>
            <w:r>
              <w:rPr>
                <w:sz w:val="15"/>
              </w:rPr>
              <w:t>ED / delegated final APP</w:t>
            </w:r>
          </w:p>
        </w:tc>
        <w:tc>
          <w:tcPr>
            <w:tcW w:type="dxa" w:w="1964"/>
            <w:vAlign w:val="center"/>
          </w:tcPr>
          <w:p>
            <w:pPr>
              <w:spacing w:after="20"/>
            </w:pPr>
            <w:r>
              <w:rPr>
                <w:sz w:val="15"/>
              </w:rPr>
              <w:t>Final commercial award authority</w:t>
            </w:r>
          </w:p>
        </w:tc>
        <w:tc>
          <w:tcPr>
            <w:tcW w:type="dxa" w:w="1964"/>
            <w:vAlign w:val="center"/>
          </w:tcPr>
          <w:p>
            <w:pPr>
              <w:spacing w:after="20"/>
            </w:pPr>
            <w:r>
              <w:rPr>
                <w:sz w:val="15"/>
              </w:rPr>
              <w:t>Full award pack, deviation register, prior approvals</w:t>
            </w:r>
          </w:p>
        </w:tc>
        <w:tc>
          <w:tcPr>
            <w:tcW w:type="dxa" w:w="1964"/>
            <w:vAlign w:val="center"/>
          </w:tcPr>
          <w:p>
            <w:pPr>
              <w:spacing w:after="20"/>
            </w:pPr>
            <w:r>
              <w:rPr>
                <w:sz w:val="15"/>
              </w:rPr>
              <w:t>Procurement / Finance as relevant</w:t>
            </w:r>
          </w:p>
        </w:tc>
      </w:tr>
    </w:tbl>
    <w:p>
      <w:pPr>
        <w:spacing w:after="20"/>
      </w:pPr>
    </w:p>
    <w:p>
      <w:r>
        <w:rPr>
          <w:b/>
          <w:i w:val="0"/>
        </w:rPr>
        <w:t>Mandatory workflow principles:</w:t>
      </w:r>
      <w:r>
        <w:t xml:space="preserve"> one named accountable reviewer per step; delegated authority only under maintained matrix; no self-approval where segregation applies; decision remarks; timestamp; no skip without authorized policy exception; stepwise notification and escalation; immutable version of decision pack; supplier, unit price, currency, ordered qty, Incoterms, payment terms, delivery commitment and significant quality deviations are tracked as </w:t>
      </w:r>
      <w:r>
        <w:rPr>
          <w:b/>
          <w:i w:val="0"/>
        </w:rPr>
        <w:t>material changes</w:t>
      </w:r>
      <w:r>
        <w:t xml:space="preserve"> requiring review/reapproval.</w:t>
      </w:r>
    </w:p>
    <w:p>
      <w:r>
        <w:rPr>
          <w:b/>
          <w:i w:val="0"/>
        </w:rPr>
        <w:t>Approval financial limits</w:t>
      </w:r>
      <w:r>
        <w:t xml:space="preserve"> and alternate approvers are </w:t>
      </w:r>
      <w:r>
        <w:rPr>
          <w:b/>
          <w:i w:val="0"/>
        </w:rPr>
        <w:t>TBD by OIL</w:t>
      </w:r>
      <w:r>
        <w:t>. The system should store thresholds as configurable rules rather than assume a BDT amount.</w:t>
      </w:r>
    </w:p>
    <w:p/>
    <w:p>
      <w:pPr>
        <w:pStyle w:val="Heading2"/>
      </w:pPr>
      <w:r>
        <w:t>9. Purchase Order, supplier acknowledgment and PI rules</w:t>
      </w:r>
    </w:p>
    <w:p>
      <w:pPr>
        <w:spacing w:after="40"/>
        <w:jc w:val="center"/>
      </w:pPr>
      <w:r>
        <w:drawing>
          <wp:inline xmlns:a="http://schemas.openxmlformats.org/drawingml/2006/main" xmlns:pic="http://schemas.openxmlformats.org/drawingml/2006/picture">
            <wp:extent cx="5989320" cy="8641417"/>
            <wp:docPr id="5" name="Picture 5"/>
            <wp:cNvGraphicFramePr>
              <a:graphicFrameLocks noChangeAspect="1"/>
            </wp:cNvGraphicFramePr>
            <a:graphic>
              <a:graphicData uri="http://schemas.openxmlformats.org/drawingml/2006/picture">
                <pic:pic>
                  <pic:nvPicPr>
                    <pic:cNvPr id="0" name="05_po.png"/>
                    <pic:cNvPicPr/>
                  </pic:nvPicPr>
                  <pic:blipFill>
                    <a:blip r:embed="rId15"/>
                    <a:stretch>
                      <a:fillRect/>
                    </a:stretch>
                  </pic:blipFill>
                  <pic:spPr>
                    <a:xfrm>
                      <a:off x="0" y="0"/>
                      <a:ext cx="5989320" cy="8641417"/>
                    </a:xfrm>
                    <a:prstGeom prst="rect"/>
                  </pic:spPr>
                </pic:pic>
              </a:graphicData>
            </a:graphic>
          </wp:inline>
        </w:drawing>
      </w:r>
    </w:p>
    <w:p>
      <w:pPr>
        <w:pStyle w:val="Caption"/>
        <w:jc w:val="center"/>
      </w:pPr>
      <w:r>
        <w:t>Figure 5. Automated PO to import and payment closure</w:t>
      </w:r>
    </w:p>
    <w:p>
      <w:pPr>
        <w:pStyle w:val="Heading3"/>
      </w:pPr>
      <w:r>
        <w:t>PO content checklist</w:t>
      </w:r>
    </w:p>
    <w:p>
      <w:r>
        <w:t xml:space="preserve">PO number/date; buyer legal name </w:t>
      </w:r>
      <w:r>
        <w:rPr>
          <w:b/>
          <w:i w:val="0"/>
        </w:rPr>
        <w:t>Osman Interlinings Limited (OIL)</w:t>
      </w:r>
      <w:r>
        <w:t xml:space="preserve"> and address; supplier legal details/contact; delivery and invoice addresses; originating PR/RFQ/quote IDs; material code/description/technical annex; quantity/UOM/tolerance; unit and extended amount; currency/tax assumptions; Incoterms 2020 named place; shipment schedule and loading/discharge port; packing/marking; sample/quality acceptance standard; payment and banking terms; claims/replacement provisions; required trade documents; approved internal reference; supplier acknowledgment instructions.</w:t>
      </w:r>
    </w:p>
    <w:p>
      <w:pPr>
        <w:pStyle w:val="Heading3"/>
      </w:pPr>
      <w:r>
        <w:t>Automatic dispatch conditions</w:t>
      </w:r>
    </w:p>
    <w:p>
      <w:r>
        <w:t>Final approval = valid</w:t>
      </w:r>
      <w:r>
        <w:t xml:space="preserve"> AND </w:t>
      </w:r>
      <w:r>
        <w:t>PO source version = final approved version</w:t>
      </w:r>
      <w:r>
        <w:t xml:space="preserve"> AND </w:t>
      </w:r>
      <w:r>
        <w:t>required fields complete</w:t>
      </w:r>
      <w:r>
        <w:t xml:space="preserve"> AND </w:t>
      </w:r>
      <w:r>
        <w:t>supplier email verified</w:t>
      </w:r>
      <w:r>
        <w:t xml:space="preserve"> AND </w:t>
      </w:r>
      <w:r>
        <w:t>no unresolved blocking deviations</w:t>
      </w:r>
      <w:r>
        <w:t xml:space="preserve"> → create approved PDF → enqueue email → log message ID → track send/delivery error. </w:t>
      </w:r>
      <w:r>
        <w:rPr>
          <w:b/>
          <w:i w:val="0"/>
        </w:rPr>
        <w:t>Never regenerate a different legal PO under the same identifier without a revision.</w:t>
      </w:r>
    </w:p>
    <w:p>
      <w:pPr>
        <w:pStyle w:val="Heading3"/>
      </w:pPr>
      <w:r>
        <w:t>PO acknowledgment and PI</w:t>
      </w:r>
    </w:p>
    <w:p>
      <w:r>
        <w:t xml:space="preserve">Supplier selects </w:t>
      </w:r>
      <w:r>
        <w:t>Accept</w:t>
      </w:r>
      <w:r>
        <w:t xml:space="preserve"> or </w:t>
      </w:r>
      <w:r>
        <w:t>Dispute</w:t>
      </w:r>
      <w:r>
        <w:t xml:space="preserve"> on secure URL. The system records time and identity. PI must match buyer/seller identities, description/specification, quantities, price, totals, currency, shipping window, Incoterms place, payment terms and beneficiary bank details. Discrepancies create a change request; changes to approved commercial fundamentals route back for authorized review.</w:t>
      </w:r>
    </w:p>
    <w:p/>
    <w:p>
      <w:pPr>
        <w:pStyle w:val="Heading2"/>
      </w:pPr>
      <w:r>
        <w:t>10. Import, receiving and payment lifecycle</w:t>
      </w:r>
    </w:p>
    <w:p>
      <w:r>
        <w:rPr>
          <w:b/>
          <w:i w:val="0"/>
        </w:rPr>
        <w:t>Import sub-process:</w:t>
      </w:r>
      <w:r>
        <w:t xml:space="preserve"> validated PI → import documentation/banking checks → LC/TT/advance approval per policy → shipment booking/confirmation → production milestone tracking → supplier dispatch document set → transit/ETA tracking → customs clearance and duty/tax documentation → delivery to OIL → GRN and QA receiving report → supplier invoice matching → payment/advance adjustment → order closure.</w:t>
      </w:r>
    </w:p>
    <w:p>
      <w:r>
        <w:rPr>
          <w:b/>
          <w:i w:val="0"/>
        </w:rPr>
        <w:t>Potential documents:</w:t>
      </w:r>
      <w:r>
        <w:t xml:space="preserve"> PI, commercial invoice, packing list, transport document (BL/AWB as appropriate), certificate of origin when required, insurance evidence, LC/TT documents, import permission/customs documentation, test certificate/COA, GRN and supplier credit/debit note. Exact mandatory document rules depend on import method and applicable regulations; Finance/Import must validate them.</w:t>
      </w:r>
    </w:p>
    <w:p>
      <w:r>
        <w:rPr>
          <w:b/>
          <w:i w:val="0"/>
        </w:rPr>
        <w:t>Exception handling:</w:t>
      </w:r>
      <w:r>
        <w:t xml:space="preserve"> partial shipment, over/short receipt, wrong specification, failed QA, late delivery, damaged goods, missing shipping papers, demurrage, exchange-rate change, invoice mismatch and duplicate invoicing each create an exception case with assignee, root cause, corrective action and closure approval.</w:t>
      </w:r>
    </w:p>
    <w:p>
      <w:r>
        <w:rPr>
          <w:b/>
          <w:i w:val="0"/>
        </w:rPr>
        <w:t>Three-way match:</w:t>
      </w:r>
      <w:r>
        <w:t xml:space="preserve"> PO ↔ GRN/accepted quantity ↔ Supplier invoice. Material deviations block or partially restrict payment until resolution. Paid amount, advance balances, deductions and remaining PO commitments should reconcile.</w:t>
      </w:r>
    </w:p>
    <w:p/>
    <w:p>
      <w:pPr>
        <w:pStyle w:val="Heading2"/>
      </w:pPr>
      <w:r>
        <w:t>11. Automated communications: event matrix</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shd w:fill="DDF1F1"/>
          </w:tcPr>
          <w:p>
            <w:pPr>
              <w:spacing w:after="20"/>
            </w:pPr>
            <w:r>
              <w:rPr>
                <w:b/>
                <w:sz w:val="16"/>
              </w:rPr>
              <w:t>Event</w:t>
            </w:r>
          </w:p>
        </w:tc>
        <w:tc>
          <w:tcPr>
            <w:tcW w:type="dxa" w:w="2455"/>
            <w:vAlign w:val="center"/>
            <w:shd w:fill="DDF1F1"/>
          </w:tcPr>
          <w:p>
            <w:pPr>
              <w:spacing w:after="20"/>
            </w:pPr>
            <w:r>
              <w:rPr>
                <w:b/>
                <w:sz w:val="16"/>
              </w:rPr>
              <w:t>Recipient</w:t>
            </w:r>
          </w:p>
        </w:tc>
        <w:tc>
          <w:tcPr>
            <w:tcW w:type="dxa" w:w="2455"/>
            <w:vAlign w:val="center"/>
            <w:shd w:fill="DDF1F1"/>
          </w:tcPr>
          <w:p>
            <w:pPr>
              <w:spacing w:after="20"/>
            </w:pPr>
            <w:r>
              <w:rPr>
                <w:b/>
                <w:sz w:val="16"/>
              </w:rPr>
              <w:t>Automation</w:t>
            </w:r>
          </w:p>
        </w:tc>
        <w:tc>
          <w:tcPr>
            <w:tcW w:type="dxa" w:w="2455"/>
            <w:vAlign w:val="center"/>
            <w:shd w:fill="DDF1F1"/>
          </w:tcPr>
          <w:p>
            <w:pPr>
              <w:spacing w:after="20"/>
            </w:pPr>
            <w:r>
              <w:rPr>
                <w:b/>
                <w:sz w:val="16"/>
              </w:rPr>
              <w:t>Key rule</w:t>
            </w:r>
          </w:p>
        </w:tc>
      </w:tr>
      <w:tr>
        <w:tc>
          <w:tcPr>
            <w:tcW w:type="dxa" w:w="2455"/>
            <w:vAlign w:val="center"/>
          </w:tcPr>
          <w:p>
            <w:pPr>
              <w:spacing w:after="20"/>
            </w:pPr>
            <w:r>
              <w:rPr>
                <w:sz w:val="16"/>
              </w:rPr>
              <w:t>RFQ published</w:t>
            </w:r>
          </w:p>
        </w:tc>
        <w:tc>
          <w:tcPr>
            <w:tcW w:type="dxa" w:w="2455"/>
            <w:vAlign w:val="center"/>
          </w:tcPr>
          <w:p>
            <w:pPr>
              <w:spacing w:after="20"/>
            </w:pPr>
            <w:r>
              <w:rPr>
                <w:sz w:val="16"/>
              </w:rPr>
              <w:t>Invited supplier</w:t>
            </w:r>
          </w:p>
        </w:tc>
        <w:tc>
          <w:tcPr>
            <w:tcW w:type="dxa" w:w="2455"/>
            <w:vAlign w:val="center"/>
          </w:tcPr>
          <w:p>
            <w:pPr>
              <w:spacing w:after="20"/>
            </w:pPr>
            <w:r>
              <w:rPr>
                <w:sz w:val="16"/>
              </w:rPr>
              <w:t>RFQ email with individualized link</w:t>
            </w:r>
          </w:p>
        </w:tc>
        <w:tc>
          <w:tcPr>
            <w:tcW w:type="dxa" w:w="2455"/>
            <w:vAlign w:val="center"/>
          </w:tcPr>
          <w:p>
            <w:pPr>
              <w:spacing w:after="20"/>
            </w:pPr>
            <w:r>
              <w:rPr>
                <w:sz w:val="16"/>
              </w:rPr>
              <w:t>Record send status</w:t>
            </w:r>
          </w:p>
        </w:tc>
      </w:tr>
      <w:tr>
        <w:tc>
          <w:tcPr>
            <w:tcW w:type="dxa" w:w="2455"/>
            <w:vAlign w:val="center"/>
          </w:tcPr>
          <w:p>
            <w:pPr>
              <w:spacing w:after="20"/>
            </w:pPr>
            <w:r>
              <w:rPr>
                <w:sz w:val="16"/>
              </w:rPr>
              <w:t>Deadline approaching</w:t>
            </w:r>
          </w:p>
        </w:tc>
        <w:tc>
          <w:tcPr>
            <w:tcW w:type="dxa" w:w="2455"/>
            <w:vAlign w:val="center"/>
          </w:tcPr>
          <w:p>
            <w:pPr>
              <w:spacing w:after="20"/>
            </w:pPr>
            <w:r>
              <w:rPr>
                <w:sz w:val="16"/>
              </w:rPr>
              <w:t>Suppliers not yet submitted</w:t>
            </w:r>
          </w:p>
        </w:tc>
        <w:tc>
          <w:tcPr>
            <w:tcW w:type="dxa" w:w="2455"/>
            <w:vAlign w:val="center"/>
          </w:tcPr>
          <w:p>
            <w:pPr>
              <w:spacing w:after="20"/>
            </w:pPr>
            <w:r>
              <w:rPr>
                <w:sz w:val="16"/>
              </w:rPr>
              <w:t>Reminder</w:t>
            </w:r>
          </w:p>
        </w:tc>
        <w:tc>
          <w:tcPr>
            <w:tcW w:type="dxa" w:w="2455"/>
            <w:vAlign w:val="center"/>
          </w:tcPr>
          <w:p>
            <w:pPr>
              <w:spacing w:after="20"/>
            </w:pPr>
            <w:r>
              <w:rPr>
                <w:sz w:val="16"/>
              </w:rPr>
              <w:t>Suggested 1 supplier-country working day prior</w:t>
            </w:r>
          </w:p>
        </w:tc>
      </w:tr>
      <w:tr>
        <w:tc>
          <w:tcPr>
            <w:tcW w:type="dxa" w:w="2455"/>
            <w:vAlign w:val="center"/>
          </w:tcPr>
          <w:p>
            <w:pPr>
              <w:spacing w:after="20"/>
            </w:pPr>
            <w:r>
              <w:rPr>
                <w:sz w:val="16"/>
              </w:rPr>
              <w:t>Supplier submits</w:t>
            </w:r>
          </w:p>
        </w:tc>
        <w:tc>
          <w:tcPr>
            <w:tcW w:type="dxa" w:w="2455"/>
            <w:vAlign w:val="center"/>
          </w:tcPr>
          <w:p>
            <w:pPr>
              <w:spacing w:after="20"/>
            </w:pPr>
            <w:r>
              <w:rPr>
                <w:sz w:val="16"/>
              </w:rPr>
              <w:t>That supplier + Procurement</w:t>
            </w:r>
          </w:p>
        </w:tc>
        <w:tc>
          <w:tcPr>
            <w:tcW w:type="dxa" w:w="2455"/>
            <w:vAlign w:val="center"/>
          </w:tcPr>
          <w:p>
            <w:pPr>
              <w:spacing w:after="20"/>
            </w:pPr>
            <w:r>
              <w:rPr>
                <w:sz w:val="16"/>
              </w:rPr>
              <w:t>Confirmation and internal notification</w:t>
            </w:r>
          </w:p>
        </w:tc>
        <w:tc>
          <w:tcPr>
            <w:tcW w:type="dxa" w:w="2455"/>
            <w:vAlign w:val="center"/>
          </w:tcPr>
          <w:p>
            <w:pPr>
              <w:spacing w:after="20"/>
            </w:pPr>
            <w:r>
              <w:rPr>
                <w:sz w:val="16"/>
              </w:rPr>
              <w:t>Keep confidential</w:t>
            </w:r>
          </w:p>
        </w:tc>
      </w:tr>
      <w:tr>
        <w:tc>
          <w:tcPr>
            <w:tcW w:type="dxa" w:w="2455"/>
            <w:vAlign w:val="center"/>
          </w:tcPr>
          <w:p>
            <w:pPr>
              <w:spacing w:after="20"/>
            </w:pPr>
            <w:r>
              <w:rPr>
                <w:sz w:val="16"/>
              </w:rPr>
              <w:t>Deadline reached</w:t>
            </w:r>
          </w:p>
        </w:tc>
        <w:tc>
          <w:tcPr>
            <w:tcW w:type="dxa" w:w="2455"/>
            <w:vAlign w:val="center"/>
          </w:tcPr>
          <w:p>
            <w:pPr>
              <w:spacing w:after="20"/>
            </w:pPr>
            <w:r>
              <w:rPr>
                <w:sz w:val="16"/>
              </w:rPr>
              <w:t>Procurement; optional supplier closure notice</w:t>
            </w:r>
          </w:p>
        </w:tc>
        <w:tc>
          <w:tcPr>
            <w:tcW w:type="dxa" w:w="2455"/>
            <w:vAlign w:val="center"/>
          </w:tcPr>
          <w:p>
            <w:pPr>
              <w:spacing w:after="20"/>
            </w:pPr>
            <w:r>
              <w:rPr>
                <w:sz w:val="16"/>
              </w:rPr>
              <w:t>Close submissions</w:t>
            </w:r>
          </w:p>
        </w:tc>
        <w:tc>
          <w:tcPr>
            <w:tcW w:type="dxa" w:w="2455"/>
            <w:vAlign w:val="center"/>
          </w:tcPr>
          <w:p>
            <w:pPr>
              <w:spacing w:after="20"/>
            </w:pPr>
            <w:r>
              <w:rPr>
                <w:sz w:val="16"/>
              </w:rPr>
              <w:t>No late silent overwrites</w:t>
            </w:r>
          </w:p>
        </w:tc>
      </w:tr>
      <w:tr>
        <w:tc>
          <w:tcPr>
            <w:tcW w:type="dxa" w:w="2455"/>
            <w:vAlign w:val="center"/>
          </w:tcPr>
          <w:p>
            <w:pPr>
              <w:spacing w:after="20"/>
            </w:pPr>
            <w:r>
              <w:rPr>
                <w:sz w:val="16"/>
              </w:rPr>
              <w:t>Deadline extended</w:t>
            </w:r>
          </w:p>
        </w:tc>
        <w:tc>
          <w:tcPr>
            <w:tcW w:type="dxa" w:w="2455"/>
            <w:vAlign w:val="center"/>
          </w:tcPr>
          <w:p>
            <w:pPr>
              <w:spacing w:after="20"/>
            </w:pPr>
            <w:r>
              <w:rPr>
                <w:sz w:val="16"/>
              </w:rPr>
              <w:t>Affected supplier</w:t>
            </w:r>
          </w:p>
        </w:tc>
        <w:tc>
          <w:tcPr>
            <w:tcW w:type="dxa" w:w="2455"/>
            <w:vAlign w:val="center"/>
          </w:tcPr>
          <w:p>
            <w:pPr>
              <w:spacing w:after="20"/>
            </w:pPr>
            <w:r>
              <w:rPr>
                <w:sz w:val="16"/>
              </w:rPr>
              <w:t>Revised deadline email</w:t>
            </w:r>
          </w:p>
        </w:tc>
        <w:tc>
          <w:tcPr>
            <w:tcW w:type="dxa" w:w="2455"/>
            <w:vAlign w:val="center"/>
          </w:tcPr>
          <w:p>
            <w:pPr>
              <w:spacing w:after="20"/>
            </w:pPr>
            <w:r>
              <w:rPr>
                <w:sz w:val="16"/>
              </w:rPr>
              <w:t>Authorized and logged</w:t>
            </w:r>
          </w:p>
        </w:tc>
      </w:tr>
      <w:tr>
        <w:tc>
          <w:tcPr>
            <w:tcW w:type="dxa" w:w="2455"/>
            <w:vAlign w:val="center"/>
          </w:tcPr>
          <w:p>
            <w:pPr>
              <w:spacing w:after="20"/>
            </w:pPr>
            <w:r>
              <w:rPr>
                <w:sz w:val="16"/>
              </w:rPr>
              <w:t>All bids collected / RFQ closed</w:t>
            </w:r>
          </w:p>
        </w:tc>
        <w:tc>
          <w:tcPr>
            <w:tcW w:type="dxa" w:w="2455"/>
            <w:vAlign w:val="center"/>
          </w:tcPr>
          <w:p>
            <w:pPr>
              <w:spacing w:after="20"/>
            </w:pPr>
            <w:r>
              <w:rPr>
                <w:sz w:val="16"/>
              </w:rPr>
              <w:t>Procurement</w:t>
            </w:r>
          </w:p>
        </w:tc>
        <w:tc>
          <w:tcPr>
            <w:tcW w:type="dxa" w:w="2455"/>
            <w:vAlign w:val="center"/>
          </w:tcPr>
          <w:p>
            <w:pPr>
              <w:spacing w:after="20"/>
            </w:pPr>
            <w:r>
              <w:rPr>
                <w:sz w:val="16"/>
              </w:rPr>
              <w:t>CS preparation alert</w:t>
            </w:r>
          </w:p>
        </w:tc>
        <w:tc>
          <w:tcPr>
            <w:tcW w:type="dxa" w:w="2455"/>
            <w:vAlign w:val="center"/>
          </w:tcPr>
          <w:p>
            <w:pPr>
              <w:spacing w:after="20"/>
            </w:pPr>
            <w:r>
              <w:rPr>
                <w:sz w:val="16"/>
              </w:rPr>
              <w:t>Include missing supplier indicators</w:t>
            </w:r>
          </w:p>
        </w:tc>
      </w:tr>
      <w:tr>
        <w:tc>
          <w:tcPr>
            <w:tcW w:type="dxa" w:w="2455"/>
            <w:vAlign w:val="center"/>
          </w:tcPr>
          <w:p>
            <w:pPr>
              <w:spacing w:after="20"/>
            </w:pPr>
            <w:r>
              <w:rPr>
                <w:sz w:val="16"/>
              </w:rPr>
              <w:t>Test completed</w:t>
            </w:r>
          </w:p>
        </w:tc>
        <w:tc>
          <w:tcPr>
            <w:tcW w:type="dxa" w:w="2455"/>
            <w:vAlign w:val="center"/>
          </w:tcPr>
          <w:p>
            <w:pPr>
              <w:spacing w:after="20"/>
            </w:pPr>
            <w:r>
              <w:rPr>
                <w:sz w:val="16"/>
              </w:rPr>
              <w:t>Procurement / Marketing</w:t>
            </w:r>
          </w:p>
        </w:tc>
        <w:tc>
          <w:tcPr>
            <w:tcW w:type="dxa" w:w="2455"/>
            <w:vAlign w:val="center"/>
          </w:tcPr>
          <w:p>
            <w:pPr>
              <w:spacing w:after="20"/>
            </w:pPr>
            <w:r>
              <w:rPr>
                <w:sz w:val="16"/>
              </w:rPr>
              <w:t>QA outcome notice</w:t>
            </w:r>
          </w:p>
        </w:tc>
        <w:tc>
          <w:tcPr>
            <w:tcW w:type="dxa" w:w="2455"/>
            <w:vAlign w:val="center"/>
          </w:tcPr>
          <w:p>
            <w:pPr>
              <w:spacing w:after="20"/>
            </w:pPr>
            <w:r>
              <w:rPr>
                <w:sz w:val="16"/>
              </w:rPr>
              <w:t>Block failed offer</w:t>
            </w:r>
          </w:p>
        </w:tc>
      </w:tr>
      <w:tr>
        <w:tc>
          <w:tcPr>
            <w:tcW w:type="dxa" w:w="2455"/>
            <w:vAlign w:val="center"/>
          </w:tcPr>
          <w:p>
            <w:pPr>
              <w:spacing w:after="20"/>
            </w:pPr>
            <w:r>
              <w:rPr>
                <w:sz w:val="16"/>
              </w:rPr>
              <w:t>Approval task assigned</w:t>
            </w:r>
          </w:p>
        </w:tc>
        <w:tc>
          <w:tcPr>
            <w:tcW w:type="dxa" w:w="2455"/>
            <w:vAlign w:val="center"/>
          </w:tcPr>
          <w:p>
            <w:pPr>
              <w:spacing w:after="20"/>
            </w:pPr>
            <w:r>
              <w:rPr>
                <w:sz w:val="16"/>
              </w:rPr>
              <w:t>Marketing / Finance / ED</w:t>
            </w:r>
          </w:p>
        </w:tc>
        <w:tc>
          <w:tcPr>
            <w:tcW w:type="dxa" w:w="2455"/>
            <w:vAlign w:val="center"/>
          </w:tcPr>
          <w:p>
            <w:pPr>
              <w:spacing w:after="20"/>
            </w:pPr>
            <w:r>
              <w:rPr>
                <w:sz w:val="16"/>
              </w:rPr>
              <w:t>Action email / in-app notification</w:t>
            </w:r>
          </w:p>
        </w:tc>
        <w:tc>
          <w:tcPr>
            <w:tcW w:type="dxa" w:w="2455"/>
            <w:vAlign w:val="center"/>
          </w:tcPr>
          <w:p>
            <w:pPr>
              <w:spacing w:after="20"/>
            </w:pPr>
            <w:r>
              <w:rPr>
                <w:sz w:val="16"/>
              </w:rPr>
              <w:t>Role-specific access</w:t>
            </w:r>
          </w:p>
        </w:tc>
      </w:tr>
      <w:tr>
        <w:tc>
          <w:tcPr>
            <w:tcW w:type="dxa" w:w="2455"/>
            <w:vAlign w:val="center"/>
          </w:tcPr>
          <w:p>
            <w:pPr>
              <w:spacing w:after="20"/>
            </w:pPr>
            <w:r>
              <w:rPr>
                <w:sz w:val="16"/>
              </w:rPr>
              <w:t>Approval overdue</w:t>
            </w:r>
          </w:p>
        </w:tc>
        <w:tc>
          <w:tcPr>
            <w:tcW w:type="dxa" w:w="2455"/>
            <w:vAlign w:val="center"/>
          </w:tcPr>
          <w:p>
            <w:pPr>
              <w:spacing w:after="20"/>
            </w:pPr>
            <w:r>
              <w:rPr>
                <w:sz w:val="16"/>
              </w:rPr>
              <w:t>Approver / escalation owner</w:t>
            </w:r>
          </w:p>
        </w:tc>
        <w:tc>
          <w:tcPr>
            <w:tcW w:type="dxa" w:w="2455"/>
            <w:vAlign w:val="center"/>
          </w:tcPr>
          <w:p>
            <w:pPr>
              <w:spacing w:after="20"/>
            </w:pPr>
            <w:r>
              <w:rPr>
                <w:sz w:val="16"/>
              </w:rPr>
              <w:t>Escalation</w:t>
            </w:r>
          </w:p>
        </w:tc>
        <w:tc>
          <w:tcPr>
            <w:tcW w:type="dxa" w:w="2455"/>
            <w:vAlign w:val="center"/>
          </w:tcPr>
          <w:p>
            <w:pPr>
              <w:spacing w:after="20"/>
            </w:pPr>
            <w:r>
              <w:rPr>
                <w:sz w:val="16"/>
              </w:rPr>
              <w:t>Rule configurable</w:t>
            </w:r>
          </w:p>
        </w:tc>
      </w:tr>
      <w:tr>
        <w:tc>
          <w:tcPr>
            <w:tcW w:type="dxa" w:w="2455"/>
            <w:vAlign w:val="center"/>
          </w:tcPr>
          <w:p>
            <w:pPr>
              <w:spacing w:after="20"/>
            </w:pPr>
            <w:r>
              <w:rPr>
                <w:sz w:val="16"/>
              </w:rPr>
              <w:t>Final approval recorded</w:t>
            </w:r>
          </w:p>
        </w:tc>
        <w:tc>
          <w:tcPr>
            <w:tcW w:type="dxa" w:w="2455"/>
            <w:vAlign w:val="center"/>
          </w:tcPr>
          <w:p>
            <w:pPr>
              <w:spacing w:after="20"/>
            </w:pPr>
            <w:r>
              <w:rPr>
                <w:sz w:val="16"/>
              </w:rPr>
              <w:t>Procurement + system PO service</w:t>
            </w:r>
          </w:p>
        </w:tc>
        <w:tc>
          <w:tcPr>
            <w:tcW w:type="dxa" w:w="2455"/>
            <w:vAlign w:val="center"/>
          </w:tcPr>
          <w:p>
            <w:pPr>
              <w:spacing w:after="20"/>
            </w:pPr>
            <w:r>
              <w:rPr>
                <w:sz w:val="16"/>
              </w:rPr>
              <w:t>Auto-PO validation / dispatch</w:t>
            </w:r>
          </w:p>
        </w:tc>
        <w:tc>
          <w:tcPr>
            <w:tcW w:type="dxa" w:w="2455"/>
            <w:vAlign w:val="center"/>
          </w:tcPr>
          <w:p>
            <w:pPr>
              <w:spacing w:after="20"/>
            </w:pPr>
            <w:r>
              <w:rPr>
                <w:sz w:val="16"/>
              </w:rPr>
              <w:t>No send on failed checks</w:t>
            </w:r>
          </w:p>
        </w:tc>
      </w:tr>
      <w:tr>
        <w:tc>
          <w:tcPr>
            <w:tcW w:type="dxa" w:w="2455"/>
            <w:vAlign w:val="center"/>
          </w:tcPr>
          <w:p>
            <w:pPr>
              <w:spacing w:after="20"/>
            </w:pPr>
            <w:r>
              <w:rPr>
                <w:sz w:val="16"/>
              </w:rPr>
              <w:t>PO sent</w:t>
            </w:r>
          </w:p>
        </w:tc>
        <w:tc>
          <w:tcPr>
            <w:tcW w:type="dxa" w:w="2455"/>
            <w:vAlign w:val="center"/>
          </w:tcPr>
          <w:p>
            <w:pPr>
              <w:spacing w:after="20"/>
            </w:pPr>
            <w:r>
              <w:rPr>
                <w:sz w:val="16"/>
              </w:rPr>
              <w:t>Selected supplier</w:t>
            </w:r>
          </w:p>
        </w:tc>
        <w:tc>
          <w:tcPr>
            <w:tcW w:type="dxa" w:w="2455"/>
            <w:vAlign w:val="center"/>
          </w:tcPr>
          <w:p>
            <w:pPr>
              <w:spacing w:after="20"/>
            </w:pPr>
            <w:r>
              <w:rPr>
                <w:sz w:val="16"/>
              </w:rPr>
              <w:t>Official PO email + PDF</w:t>
            </w:r>
          </w:p>
        </w:tc>
        <w:tc>
          <w:tcPr>
            <w:tcW w:type="dxa" w:w="2455"/>
            <w:vAlign w:val="center"/>
          </w:tcPr>
          <w:p>
            <w:pPr>
              <w:spacing w:after="20"/>
            </w:pPr>
            <w:r>
              <w:rPr>
                <w:sz w:val="16"/>
              </w:rPr>
              <w:t>Track failed delivery</w:t>
            </w:r>
          </w:p>
        </w:tc>
      </w:tr>
      <w:tr>
        <w:tc>
          <w:tcPr>
            <w:tcW w:type="dxa" w:w="2455"/>
            <w:vAlign w:val="center"/>
          </w:tcPr>
          <w:p>
            <w:pPr>
              <w:spacing w:after="20"/>
            </w:pPr>
            <w:r>
              <w:rPr>
                <w:sz w:val="16"/>
              </w:rPr>
              <w:t>PO acknowledgment overdue</w:t>
            </w:r>
          </w:p>
        </w:tc>
        <w:tc>
          <w:tcPr>
            <w:tcW w:type="dxa" w:w="2455"/>
            <w:vAlign w:val="center"/>
          </w:tcPr>
          <w:p>
            <w:pPr>
              <w:spacing w:after="20"/>
            </w:pPr>
            <w:r>
              <w:rPr>
                <w:sz w:val="16"/>
              </w:rPr>
              <w:t>Selected supplier + Procurement</w:t>
            </w:r>
          </w:p>
        </w:tc>
        <w:tc>
          <w:tcPr>
            <w:tcW w:type="dxa" w:w="2455"/>
            <w:vAlign w:val="center"/>
          </w:tcPr>
          <w:p>
            <w:pPr>
              <w:spacing w:after="20"/>
            </w:pPr>
            <w:r>
              <w:rPr>
                <w:sz w:val="16"/>
              </w:rPr>
              <w:t>Reminder/escalation</w:t>
            </w:r>
          </w:p>
        </w:tc>
        <w:tc>
          <w:tcPr>
            <w:tcW w:type="dxa" w:w="2455"/>
            <w:vAlign w:val="center"/>
          </w:tcPr>
          <w:p>
            <w:pPr>
              <w:spacing w:after="20"/>
            </w:pPr>
            <w:r>
              <w:rPr>
                <w:sz w:val="16"/>
              </w:rPr>
              <w:t>Acknowledgment SLA TBD</w:t>
            </w:r>
          </w:p>
        </w:tc>
      </w:tr>
      <w:tr>
        <w:tc>
          <w:tcPr>
            <w:tcW w:type="dxa" w:w="2455"/>
            <w:vAlign w:val="center"/>
          </w:tcPr>
          <w:p>
            <w:pPr>
              <w:spacing w:after="20"/>
            </w:pPr>
            <w:r>
              <w:rPr>
                <w:sz w:val="16"/>
              </w:rPr>
              <w:t>Supplier disputes PO</w:t>
            </w:r>
          </w:p>
        </w:tc>
        <w:tc>
          <w:tcPr>
            <w:tcW w:type="dxa" w:w="2455"/>
            <w:vAlign w:val="center"/>
          </w:tcPr>
          <w:p>
            <w:pPr>
              <w:spacing w:after="20"/>
            </w:pPr>
            <w:r>
              <w:rPr>
                <w:sz w:val="16"/>
              </w:rPr>
              <w:t>Procurement</w:t>
            </w:r>
          </w:p>
        </w:tc>
        <w:tc>
          <w:tcPr>
            <w:tcW w:type="dxa" w:w="2455"/>
            <w:vAlign w:val="center"/>
          </w:tcPr>
          <w:p>
            <w:pPr>
              <w:spacing w:after="20"/>
            </w:pPr>
            <w:r>
              <w:rPr>
                <w:sz w:val="16"/>
              </w:rPr>
              <w:t>Exception alert</w:t>
            </w:r>
          </w:p>
        </w:tc>
        <w:tc>
          <w:tcPr>
            <w:tcW w:type="dxa" w:w="2455"/>
            <w:vAlign w:val="center"/>
          </w:tcPr>
          <w:p>
            <w:pPr>
              <w:spacing w:after="20"/>
            </w:pPr>
            <w:r>
              <w:rPr>
                <w:sz w:val="16"/>
              </w:rPr>
              <w:t>Changes require governance</w:t>
            </w:r>
          </w:p>
        </w:tc>
      </w:tr>
      <w:tr>
        <w:tc>
          <w:tcPr>
            <w:tcW w:type="dxa" w:w="2455"/>
            <w:vAlign w:val="center"/>
          </w:tcPr>
          <w:p>
            <w:pPr>
              <w:spacing w:after="20"/>
            </w:pPr>
            <w:r>
              <w:rPr>
                <w:sz w:val="16"/>
              </w:rPr>
              <w:t>PI uploaded</w:t>
            </w:r>
          </w:p>
        </w:tc>
        <w:tc>
          <w:tcPr>
            <w:tcW w:type="dxa" w:w="2455"/>
            <w:vAlign w:val="center"/>
          </w:tcPr>
          <w:p>
            <w:pPr>
              <w:spacing w:after="20"/>
            </w:pPr>
            <w:r>
              <w:rPr>
                <w:sz w:val="16"/>
              </w:rPr>
              <w:t>Procurement / Import / Finance</w:t>
            </w:r>
          </w:p>
        </w:tc>
        <w:tc>
          <w:tcPr>
            <w:tcW w:type="dxa" w:w="2455"/>
            <w:vAlign w:val="center"/>
          </w:tcPr>
          <w:p>
            <w:pPr>
              <w:spacing w:after="20"/>
            </w:pPr>
            <w:r>
              <w:rPr>
                <w:sz w:val="16"/>
              </w:rPr>
              <w:t>Validation task</w:t>
            </w:r>
          </w:p>
        </w:tc>
        <w:tc>
          <w:tcPr>
            <w:tcW w:type="dxa" w:w="2455"/>
            <w:vAlign w:val="center"/>
          </w:tcPr>
          <w:p>
            <w:pPr>
              <w:spacing w:after="20"/>
            </w:pPr>
            <w:r>
              <w:rPr>
                <w:sz w:val="16"/>
              </w:rPr>
              <w:t>PO comparison required</w:t>
            </w:r>
          </w:p>
        </w:tc>
      </w:tr>
      <w:tr>
        <w:tc>
          <w:tcPr>
            <w:tcW w:type="dxa" w:w="2455"/>
            <w:vAlign w:val="center"/>
          </w:tcPr>
          <w:p>
            <w:pPr>
              <w:spacing w:after="20"/>
            </w:pPr>
            <w:r>
              <w:rPr>
                <w:sz w:val="16"/>
              </w:rPr>
              <w:t>Shipment delayed / ETA changed</w:t>
            </w:r>
          </w:p>
        </w:tc>
        <w:tc>
          <w:tcPr>
            <w:tcW w:type="dxa" w:w="2455"/>
            <w:vAlign w:val="center"/>
          </w:tcPr>
          <w:p>
            <w:pPr>
              <w:spacing w:after="20"/>
            </w:pPr>
            <w:r>
              <w:rPr>
                <w:sz w:val="16"/>
              </w:rPr>
              <w:t>Import, Store, Procurement</w:t>
            </w:r>
          </w:p>
        </w:tc>
        <w:tc>
          <w:tcPr>
            <w:tcW w:type="dxa" w:w="2455"/>
            <w:vAlign w:val="center"/>
          </w:tcPr>
          <w:p>
            <w:pPr>
              <w:spacing w:after="20"/>
            </w:pPr>
            <w:r>
              <w:rPr>
                <w:sz w:val="16"/>
              </w:rPr>
              <w:t>Exception notice</w:t>
            </w:r>
          </w:p>
        </w:tc>
        <w:tc>
          <w:tcPr>
            <w:tcW w:type="dxa" w:w="2455"/>
            <w:vAlign w:val="center"/>
          </w:tcPr>
          <w:p>
            <w:pPr>
              <w:spacing w:after="20"/>
            </w:pPr>
            <w:r>
              <w:rPr>
                <w:sz w:val="16"/>
              </w:rPr>
              <w:t>Threshold configurable</w:t>
            </w:r>
          </w:p>
        </w:tc>
      </w:tr>
      <w:tr>
        <w:tc>
          <w:tcPr>
            <w:tcW w:type="dxa" w:w="2455"/>
            <w:vAlign w:val="center"/>
          </w:tcPr>
          <w:p>
            <w:pPr>
              <w:spacing w:after="20"/>
            </w:pPr>
            <w:r>
              <w:rPr>
                <w:sz w:val="16"/>
              </w:rPr>
              <w:t>GRN completed / invoice mismatch</w:t>
            </w:r>
          </w:p>
        </w:tc>
        <w:tc>
          <w:tcPr>
            <w:tcW w:type="dxa" w:w="2455"/>
            <w:vAlign w:val="center"/>
          </w:tcPr>
          <w:p>
            <w:pPr>
              <w:spacing w:after="20"/>
            </w:pPr>
            <w:r>
              <w:rPr>
                <w:sz w:val="16"/>
              </w:rPr>
              <w:t>Finance / Procurement / QA</w:t>
            </w:r>
          </w:p>
        </w:tc>
        <w:tc>
          <w:tcPr>
            <w:tcW w:type="dxa" w:w="2455"/>
            <w:vAlign w:val="center"/>
          </w:tcPr>
          <w:p>
            <w:pPr>
              <w:spacing w:after="20"/>
            </w:pPr>
            <w:r>
              <w:rPr>
                <w:sz w:val="16"/>
              </w:rPr>
              <w:t>Payment readiness or exception</w:t>
            </w:r>
          </w:p>
        </w:tc>
        <w:tc>
          <w:tcPr>
            <w:tcW w:type="dxa" w:w="2455"/>
            <w:vAlign w:val="center"/>
          </w:tcPr>
          <w:p>
            <w:pPr>
              <w:spacing w:after="20"/>
            </w:pPr>
            <w:r>
              <w:rPr>
                <w:sz w:val="16"/>
              </w:rPr>
              <w:t>Three-way match</w:t>
            </w:r>
          </w:p>
        </w:tc>
      </w:tr>
    </w:tbl>
    <w:p>
      <w:pPr>
        <w:spacing w:after="20"/>
      </w:pPr>
    </w:p>
    <w:p/>
    <w:p>
      <w:pPr>
        <w:pStyle w:val="Heading2"/>
      </w:pPr>
      <w:r>
        <w:t>12. Copy-ready email formats</w:t>
      </w:r>
    </w:p>
    <w:p>
      <w:r>
        <w:t>All placeholders in braces are populated from validated master/transaction data. Automated messages should come from an official OIL sender address and be archived alongside the related RFQ/PO. Attachments and hyperlinks must be access controlled.</w:t>
      </w:r>
    </w:p>
    <w:p>
      <w:pPr>
        <w:pStyle w:val="Heading3"/>
      </w:pPr>
      <w:r>
        <w:t>Template A — Automated RFQ invitation</w:t>
      </w:r>
    </w:p>
    <w:p>
      <w:r>
        <w:rPr>
          <w:b/>
          <w:i w:val="0"/>
        </w:rPr>
        <w:t>Subject:</w:t>
      </w:r>
      <w:r>
        <w:t xml:space="preserve"> Request for Quotation — {RFQ_NUMBER} | Osman Interlinings Limited (OIL)</w:t>
      </w:r>
    </w:p>
    <w:p>
      <w:r>
        <w:t>Dear {SUPPLIER_CONTACT_NAME},</w:t>
      </w:r>
    </w:p>
    <w:p>
      <w:r>
        <w:t>Greetings from Osman Interlinings Limited (OIL).</w:t>
      </w:r>
    </w:p>
    <w:p>
      <w:r>
        <w:t xml:space="preserve">We invite your quotation for </w:t>
      </w:r>
      <w:r>
        <w:rPr>
          <w:b/>
          <w:i w:val="0"/>
        </w:rPr>
        <w:t>{MATERIAL_NAME}</w:t>
      </w:r>
      <w:r>
        <w:t xml:space="preserve"> against RFQ </w:t>
      </w:r>
      <w:r>
        <w:rPr>
          <w:b/>
          <w:i w:val="0"/>
        </w:rPr>
        <w:t>{RFQ_NUMBER}</w:t>
      </w:r>
      <w:r>
        <w:t xml:space="preserve"> for </w:t>
      </w:r>
      <w:r>
        <w:rPr>
          <w:b/>
          <w:i w:val="0"/>
        </w:rPr>
        <w:t>{QUANTITY} {UOM}</w:t>
      </w:r>
      <w:r>
        <w:t>. Kindly submit your pricing, Incoterms and named place, payment terms, material specifications, quality data, production/shipment lead time, sample arrangements and supporting documents through your secure supplier link.</w:t>
      </w:r>
    </w:p>
    <w:p>
      <w:r>
        <w:rPr>
          <w:b/>
          <w:i w:val="0"/>
        </w:rPr>
        <w:t>Submission link:</w:t>
      </w:r>
      <w:r>
        <w:t xml:space="preserve"> {RFQ_LINK}</w:t>
      </w:r>
      <w:r>
        <w:br/>
      </w:r>
      <w:r>
        <w:rPr>
          <w:b/>
          <w:i w:val="0"/>
        </w:rPr>
        <w:t>Deadline:</w:t>
      </w:r>
      <w:r>
        <w:t xml:space="preserve"> {RFQ_DEADLINE_CHINA} (China Standard Time, UTC+08:00)</w:t>
      </w:r>
      <w:r>
        <w:br/>
      </w:r>
      <w:r>
        <w:rPr>
          <w:b/>
          <w:i w:val="0"/>
        </w:rPr>
        <w:t>Reference documents:</w:t>
      </w:r>
      <w:r>
        <w:t xml:space="preserve"> {ATTACHMENT_LIST}</w:t>
      </w:r>
    </w:p>
    <w:p>
      <w:r>
        <w:t>The link will automatically close at the stated deadline. Please complete all required fields and declare any deviation from our specification. Submission is an invitation to quote and does not constitute a purchase commitment.</w:t>
      </w:r>
    </w:p>
    <w:p>
      <w:r>
        <w:t>Best regards,</w:t>
      </w:r>
      <w:r>
        <w:br/>
      </w:r>
      <w:r>
        <w:rPr>
          <w:b/>
          <w:i w:val="0"/>
        </w:rPr>
        <w:t>Procurement Department</w:t>
      </w:r>
      <w:r>
        <w:br/>
      </w:r>
      <w:r>
        <w:rPr>
          <w:b/>
          <w:i w:val="0"/>
        </w:rPr>
        <w:t>Osman Interlinings Limited (OIL)</w:t>
      </w:r>
      <w:r>
        <w:br/>
      </w:r>
      <w:r>
        <w:t>{CONTACT_EMAIL}</w:t>
      </w:r>
    </w:p>
    <w:p>
      <w:pPr>
        <w:pStyle w:val="Heading3"/>
      </w:pPr>
      <w:r>
        <w:t>Template B — RFQ reminder</w:t>
      </w:r>
    </w:p>
    <w:p>
      <w:r>
        <w:rPr>
          <w:b/>
          <w:i w:val="0"/>
        </w:rPr>
        <w:t>Subject:</w:t>
      </w:r>
      <w:r>
        <w:t xml:space="preserve"> Reminder — RFQ {RFQ_NUMBER} Closes on {RFQ_DEADLINE_CHINA}</w:t>
      </w:r>
    </w:p>
    <w:p>
      <w:r>
        <w:t>Dear {SUPPLIER_CONTACT_NAME},</w:t>
      </w:r>
    </w:p>
    <w:p>
      <w:r>
        <w:t xml:space="preserve">This is a reminder that your quotation for </w:t>
      </w:r>
      <w:r>
        <w:rPr>
          <w:b/>
          <w:i w:val="0"/>
        </w:rPr>
        <w:t>{MATERIAL_NAME}</w:t>
      </w:r>
      <w:r>
        <w:t xml:space="preserve"> under RFQ </w:t>
      </w:r>
      <w:r>
        <w:rPr>
          <w:b/>
          <w:i w:val="0"/>
        </w:rPr>
        <w:t>{RFQ_NUMBER}</w:t>
      </w:r>
      <w:r>
        <w:t xml:space="preserve"> is due by </w:t>
      </w:r>
      <w:r>
        <w:rPr>
          <w:b/>
          <w:i w:val="0"/>
        </w:rPr>
        <w:t>{RFQ_DEADLINE_CHINA} (China time)</w:t>
      </w:r>
      <w:r>
        <w:t>.</w:t>
      </w:r>
    </w:p>
    <w:p>
      <w:r>
        <w:t>Please complete the submission through: {RFQ_LINK}. The secure link will expire at the deadline. If you have already submitted, please disregard this message.</w:t>
      </w:r>
    </w:p>
    <w:p>
      <w:r>
        <w:t>Best regards,</w:t>
      </w:r>
      <w:r>
        <w:br/>
      </w:r>
      <w:r>
        <w:rPr>
          <w:b/>
          <w:i w:val="0"/>
        </w:rPr>
        <w:t>Procurement Department | Osman Interlinings Limited (OIL)</w:t>
      </w:r>
    </w:p>
    <w:p>
      <w:pPr>
        <w:pStyle w:val="Heading3"/>
      </w:pPr>
      <w:r>
        <w:t>Template C — Supplier submission confirmation</w:t>
      </w:r>
    </w:p>
    <w:p>
      <w:r>
        <w:rPr>
          <w:b/>
          <w:i w:val="0"/>
        </w:rPr>
        <w:t>Subject:</w:t>
      </w:r>
      <w:r>
        <w:t xml:space="preserve"> Quotation Received — RFQ {RFQ_NUMBER} / Submission {SUBMISSION_ID}</w:t>
      </w:r>
    </w:p>
    <w:p>
      <w:r>
        <w:t>Dear {SUPPLIER_CONTACT_NAME},</w:t>
      </w:r>
    </w:p>
    <w:p>
      <w:r>
        <w:t xml:space="preserve">Thank you. We confirm receipt of your quotation submitted on </w:t>
      </w:r>
      <w:r>
        <w:rPr>
          <w:b/>
          <w:i w:val="0"/>
        </w:rPr>
        <w:t>{SUBMITTED_AT}</w:t>
      </w:r>
      <w:r>
        <w:t xml:space="preserve"> for RFQ </w:t>
      </w:r>
      <w:r>
        <w:rPr>
          <w:b/>
          <w:i w:val="0"/>
        </w:rPr>
        <w:t>{RFQ_NUMBER}</w:t>
      </w:r>
      <w:r>
        <w:t xml:space="preserve">. Your submission reference is </w:t>
      </w:r>
      <w:r>
        <w:rPr>
          <w:b/>
          <w:i w:val="0"/>
        </w:rPr>
        <w:t>{SUBMISSION_ID}</w:t>
      </w:r>
      <w:r>
        <w:t>.</w:t>
      </w:r>
    </w:p>
    <w:p>
      <w:r>
        <w:rPr>
          <w:b/>
          <w:i w:val="0"/>
        </w:rPr>
        <w:t>Status:</w:t>
      </w:r>
      <w:r>
        <w:t xml:space="preserve"> Received — under evaluation. This acknowledgment does not constitute supplier selection or PO acceptance.</w:t>
      </w:r>
    </w:p>
    <w:p>
      <w:r>
        <w:t>Best regards,</w:t>
      </w:r>
      <w:r>
        <w:br/>
      </w:r>
      <w:r>
        <w:rPr>
          <w:b/>
          <w:i w:val="0"/>
        </w:rPr>
        <w:t>Procurement Department | Osman Interlinings Limited (OIL)</w:t>
      </w:r>
    </w:p>
    <w:p>
      <w:pPr>
        <w:pStyle w:val="Heading3"/>
      </w:pPr>
      <w:r>
        <w:t>Template D — RFQ extension</w:t>
      </w:r>
    </w:p>
    <w:p>
      <w:r>
        <w:rPr>
          <w:b/>
          <w:i w:val="0"/>
        </w:rPr>
        <w:t>Subject:</w:t>
      </w:r>
      <w:r>
        <w:t xml:space="preserve"> Revised RFQ Submission Deadline — {RFQ_NUMBER}</w:t>
      </w:r>
    </w:p>
    <w:p>
      <w:r>
        <w:t>Dear {SUPPLIER_CONTACT_NAME},</w:t>
      </w:r>
    </w:p>
    <w:p>
      <w:r>
        <w:t xml:space="preserve">Please note that the submission deadline for RFQ </w:t>
      </w:r>
      <w:r>
        <w:rPr>
          <w:b/>
          <w:i w:val="0"/>
        </w:rPr>
        <w:t>{RFQ_NUMBER}</w:t>
      </w:r>
      <w:r>
        <w:t xml:space="preserve"> has been extended to </w:t>
      </w:r>
      <w:r>
        <w:rPr>
          <w:b/>
          <w:i w:val="0"/>
        </w:rPr>
        <w:t>{NEW_DEADLINE_CHINA} (China time)</w:t>
      </w:r>
      <w:r>
        <w:t>.</w:t>
      </w:r>
    </w:p>
    <w:p>
      <w:r>
        <w:t>Your secure quotation link is: {RFQ_LINK}. Please ensure that all mandatory details and documents are submitted before the revised cutoff.</w:t>
      </w:r>
    </w:p>
    <w:p>
      <w:r>
        <w:t>Best regards,</w:t>
      </w:r>
      <w:r>
        <w:br/>
      </w:r>
      <w:r>
        <w:rPr>
          <w:b/>
          <w:i w:val="0"/>
        </w:rPr>
        <w:t>Procurement Department | Osman Interlinings Limited (OIL)</w:t>
      </w:r>
    </w:p>
    <w:p>
      <w:pPr>
        <w:pStyle w:val="Heading3"/>
      </w:pPr>
      <w:r>
        <w:t>Template E — RFQ closure</w:t>
      </w:r>
    </w:p>
    <w:p>
      <w:r>
        <w:rPr>
          <w:b/>
          <w:i w:val="0"/>
        </w:rPr>
        <w:t>Subject:</w:t>
      </w:r>
      <w:r>
        <w:t xml:space="preserve"> RFQ Submission Closed — {RFQ_NUMBER}</w:t>
      </w:r>
    </w:p>
    <w:p>
      <w:r>
        <w:t>Dear {SUPPLIER_CONTACT_NAME},</w:t>
      </w:r>
    </w:p>
    <w:p>
      <w:r>
        <w:t xml:space="preserve">The submission window for RFQ </w:t>
      </w:r>
      <w:r>
        <w:rPr>
          <w:b/>
          <w:i w:val="0"/>
        </w:rPr>
        <w:t>{RFQ_NUMBER}</w:t>
      </w:r>
      <w:r>
        <w:t xml:space="preserve"> has closed at </w:t>
      </w:r>
      <w:r>
        <w:rPr>
          <w:b/>
          <w:i w:val="0"/>
        </w:rPr>
        <w:t>{RFQ_DEADLINE_CHINA}</w:t>
      </w:r>
      <w:r>
        <w:t>. The secure link is now inactive. Any request to extend or reopen an RFQ is subject to internal authorization.</w:t>
      </w:r>
    </w:p>
    <w:p>
      <w:r>
        <w:t>Thank you for your interest.</w:t>
      </w:r>
    </w:p>
    <w:p>
      <w:r>
        <w:t>Best regards,</w:t>
      </w:r>
      <w:r>
        <w:br/>
      </w:r>
      <w:r>
        <w:rPr>
          <w:b/>
          <w:i w:val="0"/>
        </w:rPr>
        <w:t>Procurement Department | Osman Interlinings Limited (OIL)</w:t>
      </w:r>
    </w:p>
    <w:p>
      <w:pPr>
        <w:pStyle w:val="Heading3"/>
      </w:pPr>
      <w:r>
        <w:t>Template F — Official PO issuance (automated after approval)</w:t>
      </w:r>
    </w:p>
    <w:p>
      <w:r>
        <w:rPr>
          <w:b/>
          <w:i w:val="0"/>
        </w:rPr>
        <w:t>Subject:</w:t>
      </w:r>
      <w:r>
        <w:t xml:space="preserve"> Official Purchase Order — {PO_NUMBER} | Osman Interlinings Limited (OIL)</w:t>
      </w:r>
    </w:p>
    <w:p>
      <w:r>
        <w:t>Dear {SUPPLIER_CONTACT_NAME},</w:t>
      </w:r>
    </w:p>
    <w:p>
      <w:r>
        <w:t xml:space="preserve">Following the completion of our internal evaluation and approval, Osman Interlinings Limited (OIL) is pleased to issue </w:t>
      </w:r>
      <w:r>
        <w:rPr>
          <w:b/>
          <w:i w:val="0"/>
        </w:rPr>
        <w:t>Purchase Order {PO_NUMBER}</w:t>
      </w:r>
      <w:r>
        <w:t xml:space="preserve">, dated </w:t>
      </w:r>
      <w:r>
        <w:rPr>
          <w:b/>
          <w:i w:val="0"/>
        </w:rPr>
        <w:t>{PO_DATE}</w:t>
      </w:r>
      <w:r>
        <w:t>, with the following summary:</w:t>
      </w:r>
    </w:p>
    <w:p>
      <w:pPr>
        <w:pStyle w:val="ListBullet"/>
      </w:pPr>
      <w:r>
        <w:t>Material: {MATERIAL_NAME}</w:t>
      </w:r>
    </w:p>
    <w:p>
      <w:pPr>
        <w:pStyle w:val="ListBullet"/>
      </w:pPr>
      <w:r>
        <w:t>Quantity: {QUANTITY} {UOM}</w:t>
      </w:r>
    </w:p>
    <w:p>
      <w:pPr>
        <w:pStyle w:val="ListBullet"/>
      </w:pPr>
      <w:r>
        <w:t>Total Order Value: {CURRENCY} {PO_TOTAL}</w:t>
      </w:r>
    </w:p>
    <w:p>
      <w:pPr>
        <w:pStyle w:val="ListBullet"/>
      </w:pPr>
      <w:r>
        <w:t>Incoterms &amp; Named Place: {INCOTERMS_NAMED_PLACE}</w:t>
      </w:r>
    </w:p>
    <w:p>
      <w:pPr>
        <w:pStyle w:val="ListBullet"/>
      </w:pPr>
      <w:r>
        <w:t>Payment Terms: {PAYMENT_TERMS}</w:t>
      </w:r>
    </w:p>
    <w:p>
      <w:pPr>
        <w:pStyle w:val="ListBullet"/>
      </w:pPr>
      <w:r>
        <w:t>Agreed Shipment Date/Window: {SHIPMENT_COMMITMENT}</w:t>
      </w:r>
    </w:p>
    <w:p>
      <w:r>
        <w:t xml:space="preserve">The </w:t>
      </w:r>
      <w:r>
        <w:rPr>
          <w:b/>
          <w:i w:val="0"/>
        </w:rPr>
        <w:t>official approved PO PDF is attached</w:t>
      </w:r>
      <w:r>
        <w:t xml:space="preserve">. Please review the full terms and specifications, confirm acceptance at </w:t>
      </w:r>
      <w:r>
        <w:rPr>
          <w:b/>
          <w:i w:val="0"/>
        </w:rPr>
        <w:t>{PO_ACK_LINK}</w:t>
      </w:r>
      <w:r>
        <w:t>, and submit the corresponding Proforma Invoice (PI). Any discrepancy must be raised before confirmation.</w:t>
      </w:r>
    </w:p>
    <w:p>
      <w:r>
        <w:t>Best regards,</w:t>
      </w:r>
      <w:r>
        <w:br/>
      </w:r>
      <w:r>
        <w:rPr>
          <w:b/>
          <w:i w:val="0"/>
        </w:rPr>
        <w:t>Procurement Department</w:t>
      </w:r>
      <w:r>
        <w:br/>
      </w:r>
      <w:r>
        <w:rPr>
          <w:b/>
          <w:i w:val="0"/>
        </w:rPr>
        <w:t>Osman Interlinings Limited (OIL)</w:t>
      </w:r>
      <w:r>
        <w:br/>
      </w:r>
      <w:r>
        <w:t>{CONTACT_EMAIL}</w:t>
      </w:r>
    </w:p>
    <w:p>
      <w:r>
        <w:rPr>
          <w:b/>
          <w:i w:val="0"/>
        </w:rPr>
        <w:t>Attachment:</w:t>
      </w:r>
      <w:r>
        <w:t xml:space="preserve"> Purchase_Order_{PO_NUMBER}.pdf</w:t>
      </w:r>
    </w:p>
    <w:p>
      <w:pPr>
        <w:pStyle w:val="Heading3"/>
      </w:pPr>
      <w:r>
        <w:t>Template G — PO acknowledgment reminder</w:t>
      </w:r>
    </w:p>
    <w:p>
      <w:r>
        <w:rPr>
          <w:b/>
          <w:i w:val="0"/>
        </w:rPr>
        <w:t>Subject:</w:t>
      </w:r>
      <w:r>
        <w:t xml:space="preserve"> Action Required — Acknowledge PO {PO_NUMBER}</w:t>
      </w:r>
    </w:p>
    <w:p>
      <w:r>
        <w:t>Dear {SUPPLIER_CONTACT_NAME},</w:t>
      </w:r>
    </w:p>
    <w:p>
      <w:r>
        <w:t xml:space="preserve">Our records show that acknowledgment of </w:t>
      </w:r>
      <w:r>
        <w:rPr>
          <w:b/>
          <w:i w:val="0"/>
        </w:rPr>
        <w:t>PO {PO_NUMBER}</w:t>
      </w:r>
      <w:r>
        <w:t xml:space="preserve"> remains pending. Please review the PO and confirm acceptance or report a discrepancy at: </w:t>
      </w:r>
      <w:r>
        <w:rPr>
          <w:b/>
          <w:i w:val="0"/>
        </w:rPr>
        <w:t>{PO_ACK_LINK}</w:t>
      </w:r>
      <w:r>
        <w:t>.</w:t>
      </w:r>
    </w:p>
    <w:p>
      <w:r>
        <w:t>Kindly submit the PI consistent with the approved PO terms.</w:t>
      </w:r>
    </w:p>
    <w:p>
      <w:r>
        <w:t>Best regards,</w:t>
      </w:r>
      <w:r>
        <w:br/>
      </w:r>
      <w:r>
        <w:rPr>
          <w:b/>
          <w:i w:val="0"/>
        </w:rPr>
        <w:t>Procurement Department | Osman Interlinings Limited (OIL)</w:t>
      </w:r>
    </w:p>
    <w:p>
      <w:pPr>
        <w:pStyle w:val="Heading3"/>
      </w:pPr>
      <w:r>
        <w:t>Template H — Internal approval assignment</w:t>
      </w:r>
    </w:p>
    <w:p>
      <w:r>
        <w:rPr>
          <w:b/>
          <w:i w:val="0"/>
        </w:rPr>
        <w:t>Subject:</w:t>
      </w:r>
      <w:r>
        <w:t xml:space="preserve"> Procurement Approval Required — {REQUEST_ID} / {STAGE}</w:t>
      </w:r>
    </w:p>
    <w:p>
      <w:r>
        <w:t>Dear {APPROVER_NAME},</w:t>
      </w:r>
    </w:p>
    <w:p>
      <w:r>
        <w:t xml:space="preserve">An OIL procurement case requires your </w:t>
      </w:r>
      <w:r>
        <w:rPr>
          <w:b/>
          <w:i w:val="0"/>
        </w:rPr>
        <w:t>{STAGE}</w:t>
      </w:r>
      <w:r>
        <w:t xml:space="preserve"> action.</w:t>
      </w:r>
    </w:p>
    <w:p>
      <w:pPr>
        <w:pStyle w:val="ListBullet"/>
      </w:pPr>
      <w:r>
        <w:t>Reference: {REQUEST_ID}</w:t>
      </w:r>
    </w:p>
    <w:p>
      <w:pPr>
        <w:pStyle w:val="ListBullet"/>
      </w:pPr>
      <w:r>
        <w:t>Material: {MATERIAL_NAME}</w:t>
      </w:r>
    </w:p>
    <w:p>
      <w:pPr>
        <w:pStyle w:val="ListBullet"/>
      </w:pPr>
      <w:r>
        <w:t>Recommended Supplier: {SUPPLIER_NAME}</w:t>
      </w:r>
    </w:p>
    <w:p>
      <w:pPr>
        <w:pStyle w:val="ListBullet"/>
      </w:pPr>
      <w:r>
        <w:t>Proposed Value: {CURRENCY} {AMOUNT}</w:t>
      </w:r>
    </w:p>
    <w:p>
      <w:pPr>
        <w:pStyle w:val="ListBullet"/>
      </w:pPr>
      <w:r>
        <w:t>Requested Action: {ACTION_LABEL}</w:t>
      </w:r>
    </w:p>
    <w:p>
      <w:pPr>
        <w:pStyle w:val="ListBullet"/>
      </w:pPr>
      <w:r>
        <w:t>Review Link: {INTERNAL_APPROVAL_LINK}</w:t>
      </w:r>
    </w:p>
    <w:p>
      <w:r>
        <w:t>Please review the supporting RFQ, CS, quality record and commercial justification, then approve, return or reject with comments as applicable.</w:t>
      </w:r>
    </w:p>
    <w:p>
      <w:r>
        <w:rPr>
          <w:b/>
          <w:i w:val="0"/>
        </w:rPr>
        <w:t>OIL Procurement Management System</w:t>
      </w:r>
    </w:p>
    <w:p/>
    <w:p>
      <w:pPr>
        <w:pStyle w:val="Heading2"/>
      </w:pPr>
      <w:r>
        <w:t>13. Data entities, identifiers and document control</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shd w:fill="DDF1F1"/>
          </w:tcPr>
          <w:p>
            <w:pPr>
              <w:spacing w:after="20"/>
            </w:pPr>
            <w:r>
              <w:rPr>
                <w:b/>
                <w:sz w:val="16"/>
              </w:rPr>
              <w:t>Entity</w:t>
            </w:r>
          </w:p>
        </w:tc>
        <w:tc>
          <w:tcPr>
            <w:tcW w:type="dxa" w:w="3273"/>
            <w:vAlign w:val="center"/>
            <w:shd w:fill="DDF1F1"/>
          </w:tcPr>
          <w:p>
            <w:pPr>
              <w:spacing w:after="20"/>
            </w:pPr>
            <w:r>
              <w:rPr>
                <w:b/>
                <w:sz w:val="16"/>
              </w:rPr>
              <w:t>Identifier example</w:t>
            </w:r>
          </w:p>
        </w:tc>
        <w:tc>
          <w:tcPr>
            <w:tcW w:type="dxa" w:w="3273"/>
            <w:vAlign w:val="center"/>
            <w:shd w:fill="DDF1F1"/>
          </w:tcPr>
          <w:p>
            <w:pPr>
              <w:spacing w:after="20"/>
            </w:pPr>
            <w:r>
              <w:rPr>
                <w:b/>
                <w:sz w:val="16"/>
              </w:rPr>
              <w:t>Key relationships / fields</w:t>
            </w:r>
          </w:p>
        </w:tc>
      </w:tr>
      <w:tr>
        <w:tc>
          <w:tcPr>
            <w:tcW w:type="dxa" w:w="3273"/>
            <w:vAlign w:val="center"/>
          </w:tcPr>
          <w:p>
            <w:pPr>
              <w:spacing w:after="20"/>
            </w:pPr>
            <w:r>
              <w:rPr>
                <w:sz w:val="16"/>
              </w:rPr>
              <w:t>Purchase requisition</w:t>
            </w:r>
          </w:p>
        </w:tc>
        <w:tc>
          <w:tcPr>
            <w:tcW w:type="dxa" w:w="3273"/>
            <w:vAlign w:val="center"/>
          </w:tcPr>
          <w:p>
            <w:pPr>
              <w:spacing w:after="20"/>
            </w:pPr>
            <w:r>
              <w:rPr>
                <w:sz w:val="16"/>
              </w:rPr>
              <w:t>PR-2026-00001</w:t>
            </w:r>
          </w:p>
        </w:tc>
        <w:tc>
          <w:tcPr>
            <w:tcW w:type="dxa" w:w="3273"/>
            <w:vAlign w:val="center"/>
          </w:tcPr>
          <w:p>
            <w:pPr>
              <w:spacing w:after="20"/>
            </w:pPr>
            <w:r>
              <w:rPr>
                <w:sz w:val="16"/>
              </w:rPr>
              <w:t>origin department, requester, lines and dates</w:t>
            </w:r>
          </w:p>
        </w:tc>
      </w:tr>
      <w:tr>
        <w:tc>
          <w:tcPr>
            <w:tcW w:type="dxa" w:w="3273"/>
            <w:vAlign w:val="center"/>
          </w:tcPr>
          <w:p>
            <w:pPr>
              <w:spacing w:after="20"/>
            </w:pPr>
            <w:r>
              <w:rPr>
                <w:sz w:val="16"/>
              </w:rPr>
              <w:t>Consolidation batch</w:t>
            </w:r>
          </w:p>
        </w:tc>
        <w:tc>
          <w:tcPr>
            <w:tcW w:type="dxa" w:w="3273"/>
            <w:vAlign w:val="center"/>
          </w:tcPr>
          <w:p>
            <w:pPr>
              <w:spacing w:after="20"/>
            </w:pPr>
            <w:r>
              <w:rPr>
                <w:sz w:val="16"/>
              </w:rPr>
              <w:t>CB-2026-00001</w:t>
            </w:r>
          </w:p>
        </w:tc>
        <w:tc>
          <w:tcPr>
            <w:tcW w:type="dxa" w:w="3273"/>
            <w:vAlign w:val="center"/>
          </w:tcPr>
          <w:p>
            <w:pPr>
              <w:spacing w:after="20"/>
            </w:pPr>
            <w:r>
              <w:rPr>
                <w:sz w:val="16"/>
              </w:rPr>
              <w:t>PR line mapping, quantity allocations</w:t>
            </w:r>
          </w:p>
        </w:tc>
      </w:tr>
      <w:tr>
        <w:tc>
          <w:tcPr>
            <w:tcW w:type="dxa" w:w="3273"/>
            <w:vAlign w:val="center"/>
          </w:tcPr>
          <w:p>
            <w:pPr>
              <w:spacing w:after="20"/>
            </w:pPr>
            <w:r>
              <w:rPr>
                <w:sz w:val="16"/>
              </w:rPr>
              <w:t>RFQ</w:t>
            </w:r>
          </w:p>
        </w:tc>
        <w:tc>
          <w:tcPr>
            <w:tcW w:type="dxa" w:w="3273"/>
            <w:vAlign w:val="center"/>
          </w:tcPr>
          <w:p>
            <w:pPr>
              <w:spacing w:after="20"/>
            </w:pPr>
            <w:r>
              <w:rPr>
                <w:sz w:val="16"/>
              </w:rPr>
              <w:t>RFQ-2026-00001</w:t>
            </w:r>
          </w:p>
        </w:tc>
        <w:tc>
          <w:tcPr>
            <w:tcW w:type="dxa" w:w="3273"/>
            <w:vAlign w:val="center"/>
          </w:tcPr>
          <w:p>
            <w:pPr>
              <w:spacing w:after="20"/>
            </w:pPr>
            <w:r>
              <w:rPr>
                <w:sz w:val="16"/>
              </w:rPr>
              <w:t>revision, expiry, invited supplier list</w:t>
            </w:r>
          </w:p>
        </w:tc>
      </w:tr>
      <w:tr>
        <w:tc>
          <w:tcPr>
            <w:tcW w:type="dxa" w:w="3273"/>
            <w:vAlign w:val="center"/>
          </w:tcPr>
          <w:p>
            <w:pPr>
              <w:spacing w:after="20"/>
            </w:pPr>
            <w:r>
              <w:rPr>
                <w:sz w:val="16"/>
              </w:rPr>
              <w:t>Supplier</w:t>
            </w:r>
          </w:p>
        </w:tc>
        <w:tc>
          <w:tcPr>
            <w:tcW w:type="dxa" w:w="3273"/>
            <w:vAlign w:val="center"/>
          </w:tcPr>
          <w:p>
            <w:pPr>
              <w:spacing w:after="20"/>
            </w:pPr>
            <w:r>
              <w:rPr>
                <w:sz w:val="16"/>
              </w:rPr>
              <w:t>SUP-00001</w:t>
            </w:r>
          </w:p>
        </w:tc>
        <w:tc>
          <w:tcPr>
            <w:tcW w:type="dxa" w:w="3273"/>
            <w:vAlign w:val="center"/>
          </w:tcPr>
          <w:p>
            <w:pPr>
              <w:spacing w:after="20"/>
            </w:pPr>
            <w:r>
              <w:rPr>
                <w:sz w:val="16"/>
              </w:rPr>
              <w:t>contacts, addresses, status, bank verification</w:t>
            </w:r>
          </w:p>
        </w:tc>
      </w:tr>
      <w:tr>
        <w:tc>
          <w:tcPr>
            <w:tcW w:type="dxa" w:w="3273"/>
            <w:vAlign w:val="center"/>
          </w:tcPr>
          <w:p>
            <w:pPr>
              <w:spacing w:after="20"/>
            </w:pPr>
            <w:r>
              <w:rPr>
                <w:sz w:val="16"/>
              </w:rPr>
              <w:t>Quotation</w:t>
            </w:r>
          </w:p>
        </w:tc>
        <w:tc>
          <w:tcPr>
            <w:tcW w:type="dxa" w:w="3273"/>
            <w:vAlign w:val="center"/>
          </w:tcPr>
          <w:p>
            <w:pPr>
              <w:spacing w:after="20"/>
            </w:pPr>
            <w:r>
              <w:rPr>
                <w:sz w:val="16"/>
              </w:rPr>
              <w:t>QUO-2026-00001</w:t>
            </w:r>
          </w:p>
        </w:tc>
        <w:tc>
          <w:tcPr>
            <w:tcW w:type="dxa" w:w="3273"/>
            <w:vAlign w:val="center"/>
          </w:tcPr>
          <w:p>
            <w:pPr>
              <w:spacing w:after="20"/>
            </w:pPr>
            <w:r>
              <w:rPr>
                <w:sz w:val="16"/>
              </w:rPr>
              <w:t>RFQ ID, supplier ID, revision, commercial/technical lines</w:t>
            </w:r>
          </w:p>
        </w:tc>
      </w:tr>
      <w:tr>
        <w:tc>
          <w:tcPr>
            <w:tcW w:type="dxa" w:w="3273"/>
            <w:vAlign w:val="center"/>
          </w:tcPr>
          <w:p>
            <w:pPr>
              <w:spacing w:after="20"/>
            </w:pPr>
            <w:r>
              <w:rPr>
                <w:sz w:val="16"/>
              </w:rPr>
              <w:t>Sample</w:t>
            </w:r>
          </w:p>
        </w:tc>
        <w:tc>
          <w:tcPr>
            <w:tcW w:type="dxa" w:w="3273"/>
            <w:vAlign w:val="center"/>
          </w:tcPr>
          <w:p>
            <w:pPr>
              <w:spacing w:after="20"/>
            </w:pPr>
            <w:r>
              <w:rPr>
                <w:sz w:val="16"/>
              </w:rPr>
              <w:t>SMP-2026-00001</w:t>
            </w:r>
          </w:p>
        </w:tc>
        <w:tc>
          <w:tcPr>
            <w:tcW w:type="dxa" w:w="3273"/>
            <w:vAlign w:val="center"/>
          </w:tcPr>
          <w:p>
            <w:pPr>
              <w:spacing w:after="20"/>
            </w:pPr>
            <w:r>
              <w:rPr>
                <w:sz w:val="16"/>
              </w:rPr>
              <w:t>quotation line, courier, test and approval</w:t>
            </w:r>
          </w:p>
        </w:tc>
      </w:tr>
      <w:tr>
        <w:tc>
          <w:tcPr>
            <w:tcW w:type="dxa" w:w="3273"/>
            <w:vAlign w:val="center"/>
          </w:tcPr>
          <w:p>
            <w:pPr>
              <w:spacing w:after="20"/>
            </w:pPr>
            <w:r>
              <w:rPr>
                <w:sz w:val="16"/>
              </w:rPr>
              <w:t>Comparative statement</w:t>
            </w:r>
          </w:p>
        </w:tc>
        <w:tc>
          <w:tcPr>
            <w:tcW w:type="dxa" w:w="3273"/>
            <w:vAlign w:val="center"/>
          </w:tcPr>
          <w:p>
            <w:pPr>
              <w:spacing w:after="20"/>
            </w:pPr>
            <w:r>
              <w:rPr>
                <w:sz w:val="16"/>
              </w:rPr>
              <w:t>CS-2026-00001</w:t>
            </w:r>
          </w:p>
        </w:tc>
        <w:tc>
          <w:tcPr>
            <w:tcW w:type="dxa" w:w="3273"/>
            <w:vAlign w:val="center"/>
          </w:tcPr>
          <w:p>
            <w:pPr>
              <w:spacing w:after="20"/>
            </w:pPr>
            <w:r>
              <w:rPr>
                <w:sz w:val="16"/>
              </w:rPr>
              <w:t>normalized offer versions, assumptions</w:t>
            </w:r>
          </w:p>
        </w:tc>
      </w:tr>
      <w:tr>
        <w:tc>
          <w:tcPr>
            <w:tcW w:type="dxa" w:w="3273"/>
            <w:vAlign w:val="center"/>
          </w:tcPr>
          <w:p>
            <w:pPr>
              <w:spacing w:after="20"/>
            </w:pPr>
            <w:r>
              <w:rPr>
                <w:sz w:val="16"/>
              </w:rPr>
              <w:t>Negotiation round</w:t>
            </w:r>
          </w:p>
        </w:tc>
        <w:tc>
          <w:tcPr>
            <w:tcW w:type="dxa" w:w="3273"/>
            <w:vAlign w:val="center"/>
          </w:tcPr>
          <w:p>
            <w:pPr>
              <w:spacing w:after="20"/>
            </w:pPr>
            <w:r>
              <w:rPr>
                <w:sz w:val="16"/>
              </w:rPr>
              <w:t>NEG-2026-00001</w:t>
            </w:r>
          </w:p>
        </w:tc>
        <w:tc>
          <w:tcPr>
            <w:tcW w:type="dxa" w:w="3273"/>
            <w:vAlign w:val="center"/>
          </w:tcPr>
          <w:p>
            <w:pPr>
              <w:spacing w:after="20"/>
            </w:pPr>
            <w:r>
              <w:rPr>
                <w:sz w:val="16"/>
              </w:rPr>
              <w:t>original/revised commercial terms</w:t>
            </w:r>
          </w:p>
        </w:tc>
      </w:tr>
      <w:tr>
        <w:tc>
          <w:tcPr>
            <w:tcW w:type="dxa" w:w="3273"/>
            <w:vAlign w:val="center"/>
          </w:tcPr>
          <w:p>
            <w:pPr>
              <w:spacing w:after="20"/>
            </w:pPr>
            <w:r>
              <w:rPr>
                <w:sz w:val="16"/>
              </w:rPr>
              <w:t>Award package</w:t>
            </w:r>
          </w:p>
        </w:tc>
        <w:tc>
          <w:tcPr>
            <w:tcW w:type="dxa" w:w="3273"/>
            <w:vAlign w:val="center"/>
          </w:tcPr>
          <w:p>
            <w:pPr>
              <w:spacing w:after="20"/>
            </w:pPr>
            <w:r>
              <w:rPr>
                <w:sz w:val="16"/>
              </w:rPr>
              <w:t>AWD-2026-00001</w:t>
            </w:r>
          </w:p>
        </w:tc>
        <w:tc>
          <w:tcPr>
            <w:tcW w:type="dxa" w:w="3273"/>
            <w:vAlign w:val="center"/>
          </w:tcPr>
          <w:p>
            <w:pPr>
              <w:spacing w:after="20"/>
            </w:pPr>
            <w:r>
              <w:rPr>
                <w:sz w:val="16"/>
              </w:rPr>
              <w:t>recommended supplier, cost and approval trail</w:t>
            </w:r>
          </w:p>
        </w:tc>
      </w:tr>
      <w:tr>
        <w:tc>
          <w:tcPr>
            <w:tcW w:type="dxa" w:w="3273"/>
            <w:vAlign w:val="center"/>
          </w:tcPr>
          <w:p>
            <w:pPr>
              <w:spacing w:after="20"/>
            </w:pPr>
            <w:r>
              <w:rPr>
                <w:sz w:val="16"/>
              </w:rPr>
              <w:t>Purchase order</w:t>
            </w:r>
          </w:p>
        </w:tc>
        <w:tc>
          <w:tcPr>
            <w:tcW w:type="dxa" w:w="3273"/>
            <w:vAlign w:val="center"/>
          </w:tcPr>
          <w:p>
            <w:pPr>
              <w:spacing w:after="20"/>
            </w:pPr>
            <w:r>
              <w:rPr>
                <w:sz w:val="16"/>
              </w:rPr>
              <w:t>PO-2026-00001</w:t>
            </w:r>
          </w:p>
        </w:tc>
        <w:tc>
          <w:tcPr>
            <w:tcW w:type="dxa" w:w="3273"/>
            <w:vAlign w:val="center"/>
          </w:tcPr>
          <w:p>
            <w:pPr>
              <w:spacing w:after="20"/>
            </w:pPr>
            <w:r>
              <w:rPr>
                <w:sz w:val="16"/>
              </w:rPr>
              <w:t>frozen approval snapshot, PDF revision and send log</w:t>
            </w:r>
          </w:p>
        </w:tc>
      </w:tr>
      <w:tr>
        <w:tc>
          <w:tcPr>
            <w:tcW w:type="dxa" w:w="3273"/>
            <w:vAlign w:val="center"/>
          </w:tcPr>
          <w:p>
            <w:pPr>
              <w:spacing w:after="20"/>
            </w:pPr>
            <w:r>
              <w:rPr>
                <w:sz w:val="16"/>
              </w:rPr>
              <w:t>Proforma invoice</w:t>
            </w:r>
          </w:p>
        </w:tc>
        <w:tc>
          <w:tcPr>
            <w:tcW w:type="dxa" w:w="3273"/>
            <w:vAlign w:val="center"/>
          </w:tcPr>
          <w:p>
            <w:pPr>
              <w:spacing w:after="20"/>
            </w:pPr>
            <w:r>
              <w:rPr>
                <w:sz w:val="16"/>
              </w:rPr>
              <w:t>PI-2026-00001</w:t>
            </w:r>
          </w:p>
        </w:tc>
        <w:tc>
          <w:tcPr>
            <w:tcW w:type="dxa" w:w="3273"/>
            <w:vAlign w:val="center"/>
          </w:tcPr>
          <w:p>
            <w:pPr>
              <w:spacing w:after="20"/>
            </w:pPr>
            <w:r>
              <w:rPr>
                <w:sz w:val="16"/>
              </w:rPr>
              <w:t>supplier PI reference, match exceptions</w:t>
            </w:r>
          </w:p>
        </w:tc>
      </w:tr>
      <w:tr>
        <w:tc>
          <w:tcPr>
            <w:tcW w:type="dxa" w:w="3273"/>
            <w:vAlign w:val="center"/>
          </w:tcPr>
          <w:p>
            <w:pPr>
              <w:spacing w:after="20"/>
            </w:pPr>
            <w:r>
              <w:rPr>
                <w:sz w:val="16"/>
              </w:rPr>
              <w:t>Shipment</w:t>
            </w:r>
          </w:p>
        </w:tc>
        <w:tc>
          <w:tcPr>
            <w:tcW w:type="dxa" w:w="3273"/>
            <w:vAlign w:val="center"/>
          </w:tcPr>
          <w:p>
            <w:pPr>
              <w:spacing w:after="20"/>
            </w:pPr>
            <w:r>
              <w:rPr>
                <w:sz w:val="16"/>
              </w:rPr>
              <w:t>SHP-2026-00001</w:t>
            </w:r>
          </w:p>
        </w:tc>
        <w:tc>
          <w:tcPr>
            <w:tcW w:type="dxa" w:w="3273"/>
            <w:vAlign w:val="center"/>
          </w:tcPr>
          <w:p>
            <w:pPr>
              <w:spacing w:after="20"/>
            </w:pPr>
            <w:r>
              <w:rPr>
                <w:sz w:val="16"/>
              </w:rPr>
              <w:t>milestones, documents, port, ETA</w:t>
            </w:r>
          </w:p>
        </w:tc>
      </w:tr>
      <w:tr>
        <w:tc>
          <w:tcPr>
            <w:tcW w:type="dxa" w:w="3273"/>
            <w:vAlign w:val="center"/>
          </w:tcPr>
          <w:p>
            <w:pPr>
              <w:spacing w:after="20"/>
            </w:pPr>
            <w:r>
              <w:rPr>
                <w:sz w:val="16"/>
              </w:rPr>
              <w:t>Goods receipt note</w:t>
            </w:r>
          </w:p>
        </w:tc>
        <w:tc>
          <w:tcPr>
            <w:tcW w:type="dxa" w:w="3273"/>
            <w:vAlign w:val="center"/>
          </w:tcPr>
          <w:p>
            <w:pPr>
              <w:spacing w:after="20"/>
            </w:pPr>
            <w:r>
              <w:rPr>
                <w:sz w:val="16"/>
              </w:rPr>
              <w:t>GRN-2026-00001</w:t>
            </w:r>
          </w:p>
        </w:tc>
        <w:tc>
          <w:tcPr>
            <w:tcW w:type="dxa" w:w="3273"/>
            <w:vAlign w:val="center"/>
          </w:tcPr>
          <w:p>
            <w:pPr>
              <w:spacing w:after="20"/>
            </w:pPr>
            <w:r>
              <w:rPr>
                <w:sz w:val="16"/>
              </w:rPr>
              <w:t>received/accepted/rejected quantities</w:t>
            </w:r>
          </w:p>
        </w:tc>
      </w:tr>
      <w:tr>
        <w:tc>
          <w:tcPr>
            <w:tcW w:type="dxa" w:w="3273"/>
            <w:vAlign w:val="center"/>
          </w:tcPr>
          <w:p>
            <w:pPr>
              <w:spacing w:after="20"/>
            </w:pPr>
            <w:r>
              <w:rPr>
                <w:sz w:val="16"/>
              </w:rPr>
              <w:t>Supplier invoice</w:t>
            </w:r>
          </w:p>
        </w:tc>
        <w:tc>
          <w:tcPr>
            <w:tcW w:type="dxa" w:w="3273"/>
            <w:vAlign w:val="center"/>
          </w:tcPr>
          <w:p>
            <w:pPr>
              <w:spacing w:after="20"/>
            </w:pPr>
            <w:r>
              <w:rPr>
                <w:sz w:val="16"/>
              </w:rPr>
              <w:t>INV-2026-00001</w:t>
            </w:r>
          </w:p>
        </w:tc>
        <w:tc>
          <w:tcPr>
            <w:tcW w:type="dxa" w:w="3273"/>
            <w:vAlign w:val="center"/>
          </w:tcPr>
          <w:p>
            <w:pPr>
              <w:spacing w:after="20"/>
            </w:pPr>
            <w:r>
              <w:rPr>
                <w:sz w:val="16"/>
              </w:rPr>
              <w:t>PO/GRN references, taxes, match status</w:t>
            </w:r>
          </w:p>
        </w:tc>
      </w:tr>
      <w:tr>
        <w:tc>
          <w:tcPr>
            <w:tcW w:type="dxa" w:w="3273"/>
            <w:vAlign w:val="center"/>
          </w:tcPr>
          <w:p>
            <w:pPr>
              <w:spacing w:after="20"/>
            </w:pPr>
            <w:r>
              <w:rPr>
                <w:sz w:val="16"/>
              </w:rPr>
              <w:t>Payment</w:t>
            </w:r>
          </w:p>
        </w:tc>
        <w:tc>
          <w:tcPr>
            <w:tcW w:type="dxa" w:w="3273"/>
            <w:vAlign w:val="center"/>
          </w:tcPr>
          <w:p>
            <w:pPr>
              <w:spacing w:after="20"/>
            </w:pPr>
            <w:r>
              <w:rPr>
                <w:sz w:val="16"/>
              </w:rPr>
              <w:t>PAY-2026-00001</w:t>
            </w:r>
          </w:p>
        </w:tc>
        <w:tc>
          <w:tcPr>
            <w:tcW w:type="dxa" w:w="3273"/>
            <w:vAlign w:val="center"/>
          </w:tcPr>
          <w:p>
            <w:pPr>
              <w:spacing w:after="20"/>
            </w:pPr>
            <w:r>
              <w:rPr>
                <w:sz w:val="16"/>
              </w:rPr>
              <w:t>authorization, bank reference, reconciliation</w:t>
            </w:r>
          </w:p>
        </w:tc>
      </w:tr>
      <w:tr>
        <w:tc>
          <w:tcPr>
            <w:tcW w:type="dxa" w:w="3273"/>
            <w:vAlign w:val="center"/>
          </w:tcPr>
          <w:p>
            <w:pPr>
              <w:spacing w:after="20"/>
            </w:pPr>
            <w:r>
              <w:rPr>
                <w:sz w:val="16"/>
              </w:rPr>
              <w:t>Change/exception case</w:t>
            </w:r>
          </w:p>
        </w:tc>
        <w:tc>
          <w:tcPr>
            <w:tcW w:type="dxa" w:w="3273"/>
            <w:vAlign w:val="center"/>
          </w:tcPr>
          <w:p>
            <w:pPr>
              <w:spacing w:after="20"/>
            </w:pPr>
            <w:r>
              <w:rPr>
                <w:sz w:val="16"/>
              </w:rPr>
              <w:t>EXC-2026-00001</w:t>
            </w:r>
          </w:p>
        </w:tc>
        <w:tc>
          <w:tcPr>
            <w:tcW w:type="dxa" w:w="3273"/>
            <w:vAlign w:val="center"/>
          </w:tcPr>
          <w:p>
            <w:pPr>
              <w:spacing w:after="20"/>
            </w:pPr>
            <w:r>
              <w:rPr>
                <w:sz w:val="16"/>
              </w:rPr>
              <w:t>type, owner, severity, resolution, audit evidence</w:t>
            </w:r>
          </w:p>
        </w:tc>
      </w:tr>
    </w:tbl>
    <w:p>
      <w:pPr>
        <w:spacing w:after="20"/>
      </w:pPr>
    </w:p>
    <w:p>
      <w:r>
        <w:t xml:space="preserve">Every entity should store </w:t>
      </w:r>
      <w:r>
        <w:t>created_by</w:t>
      </w:r>
      <w:r>
        <w:t xml:space="preserve">, </w:t>
      </w:r>
      <w:r>
        <w:t>created_at</w:t>
      </w:r>
      <w:r>
        <w:t xml:space="preserve">, </w:t>
      </w:r>
      <w:r>
        <w:t>updated_by</w:t>
      </w:r>
      <w:r>
        <w:t xml:space="preserve">, </w:t>
      </w:r>
      <w:r>
        <w:t>updated_at</w:t>
      </w:r>
      <w:r>
        <w:t xml:space="preserve">, </w:t>
      </w:r>
      <w:r>
        <w:t>status</w:t>
      </w:r>
      <w:r>
        <w:t xml:space="preserve">, </w:t>
      </w:r>
      <w:r>
        <w:t>revision</w:t>
      </w:r>
      <w:r>
        <w:t>, and event history. Never physically overwrite legally significant submitted and approved documents without retaining prior versions.</w:t>
      </w:r>
    </w:p>
    <w:p/>
    <w:p>
      <w:pPr>
        <w:pStyle w:val="Heading2"/>
      </w:pPr>
      <w:r>
        <w:t>14. Role-based access and segregation of duties</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shd w:fill="DDF1F1"/>
          </w:tcPr>
          <w:p>
            <w:pPr>
              <w:spacing w:after="20"/>
            </w:pPr>
            <w:r>
              <w:rPr>
                <w:b/>
                <w:sz w:val="16"/>
              </w:rPr>
              <w:t>Role</w:t>
            </w:r>
          </w:p>
        </w:tc>
        <w:tc>
          <w:tcPr>
            <w:tcW w:type="dxa" w:w="2455"/>
            <w:vAlign w:val="center"/>
            <w:shd w:fill="DDF1F1"/>
          </w:tcPr>
          <w:p>
            <w:pPr>
              <w:spacing w:after="20"/>
            </w:pPr>
            <w:r>
              <w:rPr>
                <w:b/>
                <w:sz w:val="16"/>
              </w:rPr>
              <w:t>Create/Edit</w:t>
            </w:r>
          </w:p>
        </w:tc>
        <w:tc>
          <w:tcPr>
            <w:tcW w:type="dxa" w:w="2455"/>
            <w:vAlign w:val="center"/>
            <w:shd w:fill="DDF1F1"/>
          </w:tcPr>
          <w:p>
            <w:pPr>
              <w:spacing w:after="20"/>
            </w:pPr>
            <w:r>
              <w:rPr>
                <w:b/>
                <w:sz w:val="16"/>
              </w:rPr>
              <w:t>Review/Approve</w:t>
            </w:r>
          </w:p>
        </w:tc>
        <w:tc>
          <w:tcPr>
            <w:tcW w:type="dxa" w:w="2455"/>
            <w:vAlign w:val="center"/>
            <w:shd w:fill="DDF1F1"/>
          </w:tcPr>
          <w:p>
            <w:pPr>
              <w:spacing w:after="20"/>
            </w:pPr>
            <w:r>
              <w:rPr>
                <w:b/>
                <w:sz w:val="16"/>
              </w:rPr>
              <w:t>Restricted actions</w:t>
            </w:r>
          </w:p>
        </w:tc>
      </w:tr>
      <w:tr>
        <w:tc>
          <w:tcPr>
            <w:tcW w:type="dxa" w:w="2455"/>
            <w:vAlign w:val="center"/>
          </w:tcPr>
          <w:p>
            <w:pPr>
              <w:spacing w:after="20"/>
            </w:pPr>
            <w:r>
              <w:rPr>
                <w:sz w:val="16"/>
              </w:rPr>
              <w:t>Marketing requester</w:t>
            </w:r>
          </w:p>
        </w:tc>
        <w:tc>
          <w:tcPr>
            <w:tcW w:type="dxa" w:w="2455"/>
            <w:vAlign w:val="center"/>
          </w:tcPr>
          <w:p>
            <w:pPr>
              <w:spacing w:after="20"/>
            </w:pPr>
            <w:r>
              <w:rPr>
                <w:sz w:val="16"/>
              </w:rPr>
              <w:t>Own requisitions; technical feedback</w:t>
            </w:r>
          </w:p>
        </w:tc>
        <w:tc>
          <w:tcPr>
            <w:tcW w:type="dxa" w:w="2455"/>
            <w:vAlign w:val="center"/>
          </w:tcPr>
          <w:p>
            <w:pPr>
              <w:spacing w:after="20"/>
            </w:pPr>
            <w:r>
              <w:rPr>
                <w:sz w:val="16"/>
              </w:rPr>
              <w:t>Marketing ACK if assigned</w:t>
            </w:r>
          </w:p>
        </w:tc>
        <w:tc>
          <w:tcPr>
            <w:tcW w:type="dxa" w:w="2455"/>
            <w:vAlign w:val="center"/>
          </w:tcPr>
          <w:p>
            <w:pPr>
              <w:spacing w:after="20"/>
            </w:pPr>
            <w:r>
              <w:rPr>
                <w:sz w:val="16"/>
              </w:rPr>
              <w:t>Cannot issue final PO</w:t>
            </w:r>
          </w:p>
        </w:tc>
      </w:tr>
      <w:tr>
        <w:tc>
          <w:tcPr>
            <w:tcW w:type="dxa" w:w="2455"/>
            <w:vAlign w:val="center"/>
          </w:tcPr>
          <w:p>
            <w:pPr>
              <w:spacing w:after="20"/>
            </w:pPr>
            <w:r>
              <w:rPr>
                <w:sz w:val="16"/>
              </w:rPr>
              <w:t>Store requester/receiver</w:t>
            </w:r>
          </w:p>
        </w:tc>
        <w:tc>
          <w:tcPr>
            <w:tcW w:type="dxa" w:w="2455"/>
            <w:vAlign w:val="center"/>
          </w:tcPr>
          <w:p>
            <w:pPr>
              <w:spacing w:after="20"/>
            </w:pPr>
            <w:r>
              <w:rPr>
                <w:sz w:val="16"/>
              </w:rPr>
              <w:t>Own PR; GRN receipts</w:t>
            </w:r>
          </w:p>
        </w:tc>
        <w:tc>
          <w:tcPr>
            <w:tcW w:type="dxa" w:w="2455"/>
            <w:vAlign w:val="center"/>
          </w:tcPr>
          <w:p>
            <w:pPr>
              <w:spacing w:after="20"/>
            </w:pPr>
            <w:r>
              <w:rPr>
                <w:sz w:val="16"/>
              </w:rPr>
              <w:t>Receipt verification</w:t>
            </w:r>
          </w:p>
        </w:tc>
        <w:tc>
          <w:tcPr>
            <w:tcW w:type="dxa" w:w="2455"/>
            <w:vAlign w:val="center"/>
          </w:tcPr>
          <w:p>
            <w:pPr>
              <w:spacing w:after="20"/>
            </w:pPr>
            <w:r>
              <w:rPr>
                <w:sz w:val="16"/>
              </w:rPr>
              <w:t>Cannot approve supplier invoices independently</w:t>
            </w:r>
          </w:p>
        </w:tc>
      </w:tr>
      <w:tr>
        <w:tc>
          <w:tcPr>
            <w:tcW w:type="dxa" w:w="2455"/>
            <w:vAlign w:val="center"/>
          </w:tcPr>
          <w:p>
            <w:pPr>
              <w:spacing w:after="20"/>
            </w:pPr>
            <w:r>
              <w:rPr>
                <w:sz w:val="16"/>
              </w:rPr>
              <w:t>Procurement executive</w:t>
            </w:r>
          </w:p>
        </w:tc>
        <w:tc>
          <w:tcPr>
            <w:tcW w:type="dxa" w:w="2455"/>
            <w:vAlign w:val="center"/>
          </w:tcPr>
          <w:p>
            <w:pPr>
              <w:spacing w:after="20"/>
            </w:pPr>
            <w:r>
              <w:rPr>
                <w:sz w:val="16"/>
              </w:rPr>
              <w:t>RFQs, supplier invites, CS, negotiations, recommendation</w:t>
            </w:r>
          </w:p>
        </w:tc>
        <w:tc>
          <w:tcPr>
            <w:tcW w:type="dxa" w:w="2455"/>
            <w:vAlign w:val="center"/>
          </w:tcPr>
          <w:p>
            <w:pPr>
              <w:spacing w:after="20"/>
            </w:pPr>
            <w:r>
              <w:rPr>
                <w:sz w:val="16"/>
              </w:rPr>
              <w:t>Workflow preparation</w:t>
            </w:r>
          </w:p>
        </w:tc>
        <w:tc>
          <w:tcPr>
            <w:tcW w:type="dxa" w:w="2455"/>
            <w:vAlign w:val="center"/>
          </w:tcPr>
          <w:p>
            <w:pPr>
              <w:spacing w:after="20"/>
            </w:pPr>
            <w:r>
              <w:rPr>
                <w:sz w:val="16"/>
              </w:rPr>
              <w:t>Cannot self-final-approve award</w:t>
            </w:r>
          </w:p>
        </w:tc>
      </w:tr>
      <w:tr>
        <w:tc>
          <w:tcPr>
            <w:tcW w:type="dxa" w:w="2455"/>
            <w:vAlign w:val="center"/>
          </w:tcPr>
          <w:p>
            <w:pPr>
              <w:spacing w:after="20"/>
            </w:pPr>
            <w:r>
              <w:rPr>
                <w:sz w:val="16"/>
              </w:rPr>
              <w:t>Procurement supervisor</w:t>
            </w:r>
          </w:p>
        </w:tc>
        <w:tc>
          <w:tcPr>
            <w:tcW w:type="dxa" w:w="2455"/>
            <w:vAlign w:val="center"/>
          </w:tcPr>
          <w:p>
            <w:pPr>
              <w:spacing w:after="20"/>
            </w:pPr>
            <w:r>
              <w:rPr>
                <w:sz w:val="16"/>
              </w:rPr>
              <w:t>Validate sourcing/review</w:t>
            </w:r>
          </w:p>
        </w:tc>
        <w:tc>
          <w:tcPr>
            <w:tcW w:type="dxa" w:w="2455"/>
            <w:vAlign w:val="center"/>
          </w:tcPr>
          <w:p>
            <w:pPr>
              <w:spacing w:after="20"/>
            </w:pPr>
            <w:r>
              <w:rPr>
                <w:sz w:val="16"/>
              </w:rPr>
              <w:t>Assigned Procurement review</w:t>
            </w:r>
          </w:p>
        </w:tc>
        <w:tc>
          <w:tcPr>
            <w:tcW w:type="dxa" w:w="2455"/>
            <w:vAlign w:val="center"/>
          </w:tcPr>
          <w:p>
            <w:pPr>
              <w:spacing w:after="20"/>
            </w:pPr>
            <w:r>
              <w:rPr>
                <w:sz w:val="16"/>
              </w:rPr>
              <w:t>Cannot change final-approved PO silently</w:t>
            </w:r>
          </w:p>
        </w:tc>
      </w:tr>
      <w:tr>
        <w:tc>
          <w:tcPr>
            <w:tcW w:type="dxa" w:w="2455"/>
            <w:vAlign w:val="center"/>
          </w:tcPr>
          <w:p>
            <w:pPr>
              <w:spacing w:after="20"/>
            </w:pPr>
            <w:r>
              <w:rPr>
                <w:sz w:val="16"/>
              </w:rPr>
              <w:t>Supplier</w:t>
            </w:r>
          </w:p>
        </w:tc>
        <w:tc>
          <w:tcPr>
            <w:tcW w:type="dxa" w:w="2455"/>
            <w:vAlign w:val="center"/>
          </w:tcPr>
          <w:p>
            <w:pPr>
              <w:spacing w:after="20"/>
            </w:pPr>
            <w:r>
              <w:rPr>
                <w:sz w:val="16"/>
              </w:rPr>
              <w:t>Only own RFQ response and PO acknowledgment</w:t>
            </w:r>
          </w:p>
        </w:tc>
        <w:tc>
          <w:tcPr>
            <w:tcW w:type="dxa" w:w="2455"/>
            <w:vAlign w:val="center"/>
          </w:tcPr>
          <w:p>
            <w:pPr>
              <w:spacing w:after="20"/>
            </w:pPr>
            <w:r>
              <w:rPr>
                <w:sz w:val="16"/>
              </w:rPr>
              <w:t>None internally</w:t>
            </w:r>
          </w:p>
        </w:tc>
        <w:tc>
          <w:tcPr>
            <w:tcW w:type="dxa" w:w="2455"/>
            <w:vAlign w:val="center"/>
          </w:tcPr>
          <w:p>
            <w:pPr>
              <w:spacing w:after="20"/>
            </w:pPr>
            <w:r>
              <w:rPr>
                <w:sz w:val="16"/>
              </w:rPr>
              <w:t>Cannot view rivals' bids, internal scoring or approvals</w:t>
            </w:r>
          </w:p>
        </w:tc>
      </w:tr>
      <w:tr>
        <w:tc>
          <w:tcPr>
            <w:tcW w:type="dxa" w:w="2455"/>
            <w:vAlign w:val="center"/>
          </w:tcPr>
          <w:p>
            <w:pPr>
              <w:spacing w:after="20"/>
            </w:pPr>
            <w:r>
              <w:rPr>
                <w:sz w:val="16"/>
              </w:rPr>
              <w:t>QA/Technical</w:t>
            </w:r>
          </w:p>
        </w:tc>
        <w:tc>
          <w:tcPr>
            <w:tcW w:type="dxa" w:w="2455"/>
            <w:vAlign w:val="center"/>
          </w:tcPr>
          <w:p>
            <w:pPr>
              <w:spacing w:after="20"/>
            </w:pPr>
            <w:r>
              <w:rPr>
                <w:sz w:val="16"/>
              </w:rPr>
              <w:t>Sample/testing data</w:t>
            </w:r>
          </w:p>
        </w:tc>
        <w:tc>
          <w:tcPr>
            <w:tcW w:type="dxa" w:w="2455"/>
            <w:vAlign w:val="center"/>
          </w:tcPr>
          <w:p>
            <w:pPr>
              <w:spacing w:after="20"/>
            </w:pPr>
            <w:r>
              <w:rPr>
                <w:sz w:val="16"/>
              </w:rPr>
              <w:t>Technical pass/fail or waiver under authority</w:t>
            </w:r>
          </w:p>
        </w:tc>
        <w:tc>
          <w:tcPr>
            <w:tcW w:type="dxa" w:w="2455"/>
            <w:vAlign w:val="center"/>
          </w:tcPr>
          <w:p>
            <w:pPr>
              <w:spacing w:after="20"/>
            </w:pPr>
            <w:r>
              <w:rPr>
                <w:sz w:val="16"/>
              </w:rPr>
              <w:t>Cannot edit supplier bid price</w:t>
            </w:r>
          </w:p>
        </w:tc>
      </w:tr>
      <w:tr>
        <w:tc>
          <w:tcPr>
            <w:tcW w:type="dxa" w:w="2455"/>
            <w:vAlign w:val="center"/>
          </w:tcPr>
          <w:p>
            <w:pPr>
              <w:spacing w:after="20"/>
            </w:pPr>
            <w:r>
              <w:rPr>
                <w:sz w:val="16"/>
              </w:rPr>
              <w:t>Finance &amp; Accounts</w:t>
            </w:r>
          </w:p>
        </w:tc>
        <w:tc>
          <w:tcPr>
            <w:tcW w:type="dxa" w:w="2455"/>
            <w:vAlign w:val="center"/>
          </w:tcPr>
          <w:p>
            <w:pPr>
              <w:spacing w:after="20"/>
            </w:pPr>
            <w:r>
              <w:rPr>
                <w:sz w:val="16"/>
              </w:rPr>
              <w:t>Budget/cost/payment data</w:t>
            </w:r>
          </w:p>
        </w:tc>
        <w:tc>
          <w:tcPr>
            <w:tcW w:type="dxa" w:w="2455"/>
            <w:vAlign w:val="center"/>
          </w:tcPr>
          <w:p>
            <w:pPr>
              <w:spacing w:after="20"/>
            </w:pPr>
            <w:r>
              <w:rPr>
                <w:sz w:val="16"/>
              </w:rPr>
              <w:t>Finance APP and payment authorization per role</w:t>
            </w:r>
          </w:p>
        </w:tc>
        <w:tc>
          <w:tcPr>
            <w:tcW w:type="dxa" w:w="2455"/>
            <w:vAlign w:val="center"/>
          </w:tcPr>
          <w:p>
            <w:pPr>
              <w:spacing w:after="20"/>
            </w:pPr>
            <w:r>
              <w:rPr>
                <w:sz w:val="16"/>
              </w:rPr>
              <w:t>Cannot alter technical test results</w:t>
            </w:r>
          </w:p>
        </w:tc>
      </w:tr>
      <w:tr>
        <w:tc>
          <w:tcPr>
            <w:tcW w:type="dxa" w:w="2455"/>
            <w:vAlign w:val="center"/>
          </w:tcPr>
          <w:p>
            <w:pPr>
              <w:spacing w:after="20"/>
            </w:pPr>
            <w:r>
              <w:rPr>
                <w:sz w:val="16"/>
              </w:rPr>
              <w:t>ED / final approver</w:t>
            </w:r>
          </w:p>
        </w:tc>
        <w:tc>
          <w:tcPr>
            <w:tcW w:type="dxa" w:w="2455"/>
            <w:vAlign w:val="center"/>
          </w:tcPr>
          <w:p>
            <w:pPr>
              <w:spacing w:after="20"/>
            </w:pPr>
            <w:r>
              <w:rPr>
                <w:sz w:val="16"/>
              </w:rPr>
              <w:t>Review package</w:t>
            </w:r>
          </w:p>
        </w:tc>
        <w:tc>
          <w:tcPr>
            <w:tcW w:type="dxa" w:w="2455"/>
            <w:vAlign w:val="center"/>
          </w:tcPr>
          <w:p>
            <w:pPr>
              <w:spacing w:after="20"/>
            </w:pPr>
            <w:r>
              <w:rPr>
                <w:sz w:val="16"/>
              </w:rPr>
              <w:t>Final supplier/award APP</w:t>
            </w:r>
          </w:p>
        </w:tc>
        <w:tc>
          <w:tcPr>
            <w:tcW w:type="dxa" w:w="2455"/>
            <w:vAlign w:val="center"/>
          </w:tcPr>
          <w:p>
            <w:pPr>
              <w:spacing w:after="20"/>
            </w:pPr>
            <w:r>
              <w:rPr>
                <w:sz w:val="16"/>
              </w:rPr>
              <w:t>Changes require documented amendment</w:t>
            </w:r>
          </w:p>
        </w:tc>
      </w:tr>
      <w:tr>
        <w:tc>
          <w:tcPr>
            <w:tcW w:type="dxa" w:w="2455"/>
            <w:vAlign w:val="center"/>
          </w:tcPr>
          <w:p>
            <w:pPr>
              <w:spacing w:after="20"/>
            </w:pPr>
            <w:r>
              <w:rPr>
                <w:sz w:val="16"/>
              </w:rPr>
              <w:t>Import/Logistics</w:t>
            </w:r>
          </w:p>
        </w:tc>
        <w:tc>
          <w:tcPr>
            <w:tcW w:type="dxa" w:w="2455"/>
            <w:vAlign w:val="center"/>
          </w:tcPr>
          <w:p>
            <w:pPr>
              <w:spacing w:after="20"/>
            </w:pPr>
            <w:r>
              <w:rPr>
                <w:sz w:val="16"/>
              </w:rPr>
              <w:t>Shipping, PI checks, LC/TT documents</w:t>
            </w:r>
          </w:p>
        </w:tc>
        <w:tc>
          <w:tcPr>
            <w:tcW w:type="dxa" w:w="2455"/>
            <w:vAlign w:val="center"/>
          </w:tcPr>
          <w:p>
            <w:pPr>
              <w:spacing w:after="20"/>
            </w:pPr>
            <w:r>
              <w:rPr>
                <w:sz w:val="16"/>
              </w:rPr>
              <w:t>Operational verifications</w:t>
            </w:r>
          </w:p>
        </w:tc>
        <w:tc>
          <w:tcPr>
            <w:tcW w:type="dxa" w:w="2455"/>
            <w:vAlign w:val="center"/>
          </w:tcPr>
          <w:p>
            <w:pPr>
              <w:spacing w:after="20"/>
            </w:pPr>
            <w:r>
              <w:rPr>
                <w:sz w:val="16"/>
              </w:rPr>
              <w:t>Cannot bypass finance control</w:t>
            </w:r>
          </w:p>
        </w:tc>
      </w:tr>
      <w:tr>
        <w:tc>
          <w:tcPr>
            <w:tcW w:type="dxa" w:w="2455"/>
            <w:vAlign w:val="center"/>
          </w:tcPr>
          <w:p>
            <w:pPr>
              <w:spacing w:after="20"/>
            </w:pPr>
            <w:r>
              <w:rPr>
                <w:sz w:val="16"/>
              </w:rPr>
              <w:t>System administrator</w:t>
            </w:r>
          </w:p>
        </w:tc>
        <w:tc>
          <w:tcPr>
            <w:tcW w:type="dxa" w:w="2455"/>
            <w:vAlign w:val="center"/>
          </w:tcPr>
          <w:p>
            <w:pPr>
              <w:spacing w:after="20"/>
            </w:pPr>
            <w:r>
              <w:rPr>
                <w:sz w:val="16"/>
              </w:rPr>
              <w:t>Configuration, roles and support</w:t>
            </w:r>
          </w:p>
        </w:tc>
        <w:tc>
          <w:tcPr>
            <w:tcW w:type="dxa" w:w="2455"/>
            <w:vAlign w:val="center"/>
          </w:tcPr>
          <w:p>
            <w:pPr>
              <w:spacing w:after="20"/>
            </w:pPr>
            <w:r>
              <w:rPr>
                <w:sz w:val="16"/>
              </w:rPr>
              <w:t>No commercial approvals by default</w:t>
            </w:r>
          </w:p>
        </w:tc>
        <w:tc>
          <w:tcPr>
            <w:tcW w:type="dxa" w:w="2455"/>
            <w:vAlign w:val="center"/>
          </w:tcPr>
          <w:p>
            <w:pPr>
              <w:spacing w:after="20"/>
            </w:pPr>
            <w:r>
              <w:rPr>
                <w:sz w:val="16"/>
              </w:rPr>
              <w:t>Privileged actions separately audited</w:t>
            </w:r>
          </w:p>
        </w:tc>
      </w:tr>
      <w:tr>
        <w:tc>
          <w:tcPr>
            <w:tcW w:type="dxa" w:w="2455"/>
            <w:vAlign w:val="center"/>
          </w:tcPr>
          <w:p>
            <w:pPr>
              <w:spacing w:after="20"/>
            </w:pPr>
            <w:r>
              <w:rPr>
                <w:sz w:val="16"/>
              </w:rPr>
              <w:t>Internal audit / MD dashboard viewer</w:t>
            </w:r>
          </w:p>
        </w:tc>
        <w:tc>
          <w:tcPr>
            <w:tcW w:type="dxa" w:w="2455"/>
            <w:vAlign w:val="center"/>
          </w:tcPr>
          <w:p>
            <w:pPr>
              <w:spacing w:after="20"/>
            </w:pPr>
            <w:r>
              <w:rPr>
                <w:sz w:val="16"/>
              </w:rPr>
              <w:t>Read-only authorized reporting</w:t>
            </w:r>
          </w:p>
        </w:tc>
        <w:tc>
          <w:tcPr>
            <w:tcW w:type="dxa" w:w="2455"/>
            <w:vAlign w:val="center"/>
          </w:tcPr>
          <w:p>
            <w:pPr>
              <w:spacing w:after="20"/>
            </w:pPr>
            <w:r>
              <w:rPr>
                <w:sz w:val="16"/>
              </w:rPr>
              <w:t>None unless explicitly delegated</w:t>
            </w:r>
          </w:p>
        </w:tc>
        <w:tc>
          <w:tcPr>
            <w:tcW w:type="dxa" w:w="2455"/>
            <w:vAlign w:val="center"/>
          </w:tcPr>
          <w:p>
            <w:pPr>
              <w:spacing w:after="20"/>
            </w:pPr>
            <w:r>
              <w:rPr>
                <w:sz w:val="16"/>
              </w:rPr>
              <w:t>No transactional edits</w:t>
            </w:r>
          </w:p>
        </w:tc>
      </w:tr>
    </w:tbl>
    <w:p>
      <w:pPr>
        <w:spacing w:after="20"/>
      </w:pPr>
    </w:p>
    <w:p/>
    <w:p>
      <w:pPr>
        <w:pStyle w:val="Heading2"/>
      </w:pPr>
      <w:r>
        <w:t>15. Dashboards, reports and management KPIs</w:t>
      </w:r>
    </w:p>
    <w:p>
      <w:r>
        <w:rPr>
          <w:b/>
          <w:i w:val="0"/>
        </w:rPr>
        <w:t>Operational dashboard:</w:t>
      </w:r>
      <w:r>
        <w:t xml:space="preserve"> open PRs, upcoming deadlines, quotations pending, suppliers not responding, tests pending, negotiation queue, cases at each approval level, PO email delivery failures, PIs unmatched, late shipments, open GRNs and due vendor invoices.</w:t>
      </w:r>
    </w:p>
    <w:p>
      <w:r>
        <w:rPr>
          <w:b/>
          <w:i w:val="0"/>
        </w:rPr>
        <w:t>Management dashboard:</w:t>
      </w:r>
      <w:r>
        <w:t xml:space="preserve"> total procurement value, approved vs pending orders, estimated landed cost by material/supplier, time from PR to RFQ, RFQ response rate, RFQ-to-PO cycle time, negotiated cost improvements, sample first-pass rate, supplier on-time delivery, rejection/claim rate, unacknowledged POs, import delays, payment aging and exception closure time.</w:t>
      </w:r>
    </w:p>
    <w:p>
      <w:r>
        <w:rPr>
          <w:b/>
          <w:i w:val="0"/>
        </w:rPr>
        <w:t>Suggested formulas and definitions:</w:t>
      </w:r>
    </w:p>
    <w:tbl>
      <w:tblPr>
        <w:tblStyle w:val="LightShading-Accent1"/>
        <w:tblW w:type="auto" w:w="0"/>
        <w:jc w:val="center"/>
        <w:tblLook w:firstColumn="1" w:firstRow="1" w:lastColumn="0" w:lastRow="0" w:noHBand="0" w:noVBand="1" w:val="04A0"/>
      </w:tblPr>
      <w:tblGrid>
        <w:gridCol w:w="4910"/>
        <w:gridCol w:w="4910"/>
      </w:tblGrid>
      <w:tr>
        <w:trPr>
          <w:tblHeader w:val="true"/>
        </w:trPr>
        <w:tc>
          <w:tcPr>
            <w:tcW w:type="dxa" w:w="4910"/>
            <w:vAlign w:val="center"/>
            <w:shd w:fill="DDF1F1"/>
          </w:tcPr>
          <w:p>
            <w:pPr>
              <w:spacing w:after="20"/>
            </w:pPr>
            <w:r>
              <w:rPr>
                <w:b/>
                <w:sz w:val="16"/>
              </w:rPr>
              <w:t>KPI</w:t>
            </w:r>
          </w:p>
        </w:tc>
        <w:tc>
          <w:tcPr>
            <w:tcW w:type="dxa" w:w="4910"/>
            <w:vAlign w:val="center"/>
            <w:shd w:fill="DDF1F1"/>
          </w:tcPr>
          <w:p>
            <w:pPr>
              <w:spacing w:after="20"/>
            </w:pPr>
            <w:r>
              <w:rPr>
                <w:b/>
                <w:sz w:val="16"/>
              </w:rPr>
              <w:t>Formula / definition</w:t>
            </w:r>
          </w:p>
        </w:tc>
      </w:tr>
      <w:tr>
        <w:tc>
          <w:tcPr>
            <w:tcW w:type="dxa" w:w="4910"/>
            <w:vAlign w:val="center"/>
          </w:tcPr>
          <w:p>
            <w:pPr>
              <w:spacing w:after="20"/>
            </w:pPr>
            <w:r>
              <w:rPr>
                <w:sz w:val="16"/>
              </w:rPr>
              <w:t>RFQ response rate</w:t>
            </w:r>
          </w:p>
        </w:tc>
        <w:tc>
          <w:tcPr>
            <w:tcW w:type="dxa" w:w="4910"/>
            <w:vAlign w:val="center"/>
          </w:tcPr>
          <w:p>
            <w:pPr>
              <w:spacing w:after="20"/>
            </w:pPr>
            <w:r>
              <w:rPr>
                <w:sz w:val="16"/>
              </w:rPr>
              <w:t>Quotations validly submitted ÷ suppliers invited × 100</w:t>
            </w:r>
          </w:p>
        </w:tc>
      </w:tr>
      <w:tr>
        <w:tc>
          <w:tcPr>
            <w:tcW w:type="dxa" w:w="4910"/>
            <w:vAlign w:val="center"/>
          </w:tcPr>
          <w:p>
            <w:pPr>
              <w:spacing w:after="20"/>
            </w:pPr>
            <w:r>
              <w:rPr>
                <w:sz w:val="16"/>
              </w:rPr>
              <w:t>PR-to-PO lead time</w:t>
            </w:r>
          </w:p>
        </w:tc>
        <w:tc>
          <w:tcPr>
            <w:tcW w:type="dxa" w:w="4910"/>
            <w:vAlign w:val="center"/>
          </w:tcPr>
          <w:p>
            <w:pPr>
              <w:spacing w:after="20"/>
            </w:pPr>
            <w:r>
              <w:rPr>
                <w:sz w:val="16"/>
              </w:rPr>
              <w:t>PO dispatch timestamp − initial approved PR submission timestamp</w:t>
            </w:r>
          </w:p>
        </w:tc>
      </w:tr>
      <w:tr>
        <w:tc>
          <w:tcPr>
            <w:tcW w:type="dxa" w:w="4910"/>
            <w:vAlign w:val="center"/>
          </w:tcPr>
          <w:p>
            <w:pPr>
              <w:spacing w:after="20"/>
            </w:pPr>
            <w:r>
              <w:rPr>
                <w:sz w:val="16"/>
              </w:rPr>
              <w:t>On-time delivery</w:t>
            </w:r>
          </w:p>
        </w:tc>
        <w:tc>
          <w:tcPr>
            <w:tcW w:type="dxa" w:w="4910"/>
            <w:vAlign w:val="center"/>
          </w:tcPr>
          <w:p>
            <w:pPr>
              <w:spacing w:after="20"/>
            </w:pPr>
            <w:r>
              <w:rPr>
                <w:sz w:val="16"/>
              </w:rPr>
              <w:t>Deliveries by contractual date ÷ total deliveries due × 100</w:t>
            </w:r>
          </w:p>
        </w:tc>
      </w:tr>
      <w:tr>
        <w:tc>
          <w:tcPr>
            <w:tcW w:type="dxa" w:w="4910"/>
            <w:vAlign w:val="center"/>
          </w:tcPr>
          <w:p>
            <w:pPr>
              <w:spacing w:after="20"/>
            </w:pPr>
            <w:r>
              <w:rPr>
                <w:sz w:val="16"/>
              </w:rPr>
              <w:t>Sample acceptance rate</w:t>
            </w:r>
          </w:p>
        </w:tc>
        <w:tc>
          <w:tcPr>
            <w:tcW w:type="dxa" w:w="4910"/>
            <w:vAlign w:val="center"/>
          </w:tcPr>
          <w:p>
            <w:pPr>
              <w:spacing w:after="20"/>
            </w:pPr>
            <w:r>
              <w:rPr>
                <w:sz w:val="16"/>
              </w:rPr>
              <w:t>Samples accepted ÷ samples fully evaluated × 100</w:t>
            </w:r>
          </w:p>
        </w:tc>
      </w:tr>
      <w:tr>
        <w:tc>
          <w:tcPr>
            <w:tcW w:type="dxa" w:w="4910"/>
            <w:vAlign w:val="center"/>
          </w:tcPr>
          <w:p>
            <w:pPr>
              <w:spacing w:after="20"/>
            </w:pPr>
            <w:r>
              <w:rPr>
                <w:sz w:val="16"/>
              </w:rPr>
              <w:t>Quote-to-PO conversion</w:t>
            </w:r>
          </w:p>
        </w:tc>
        <w:tc>
          <w:tcPr>
            <w:tcW w:type="dxa" w:w="4910"/>
            <w:vAlign w:val="center"/>
          </w:tcPr>
          <w:p>
            <w:pPr>
              <w:spacing w:after="20"/>
            </w:pPr>
            <w:r>
              <w:rPr>
                <w:sz w:val="16"/>
              </w:rPr>
              <w:t>Awarded RFQs ÷ RFQs closed and evaluated × 100</w:t>
            </w:r>
          </w:p>
        </w:tc>
      </w:tr>
      <w:tr>
        <w:tc>
          <w:tcPr>
            <w:tcW w:type="dxa" w:w="4910"/>
            <w:vAlign w:val="center"/>
          </w:tcPr>
          <w:p>
            <w:pPr>
              <w:spacing w:after="20"/>
            </w:pPr>
            <w:r>
              <w:rPr>
                <w:sz w:val="16"/>
              </w:rPr>
              <w:t>PO acknowledgment SLA</w:t>
            </w:r>
          </w:p>
        </w:tc>
        <w:tc>
          <w:tcPr>
            <w:tcW w:type="dxa" w:w="4910"/>
            <w:vAlign w:val="center"/>
          </w:tcPr>
          <w:p>
            <w:pPr>
              <w:spacing w:after="20"/>
            </w:pPr>
            <w:r>
              <w:rPr>
                <w:sz w:val="16"/>
              </w:rPr>
              <w:t>Supplier ACK timestamp − PO email sent timestamp</w:t>
            </w:r>
          </w:p>
        </w:tc>
      </w:tr>
      <w:tr>
        <w:tc>
          <w:tcPr>
            <w:tcW w:type="dxa" w:w="4910"/>
            <w:vAlign w:val="center"/>
          </w:tcPr>
          <w:p>
            <w:pPr>
              <w:spacing w:after="20"/>
            </w:pPr>
            <w:r>
              <w:rPr>
                <w:sz w:val="16"/>
              </w:rPr>
              <w:t>Three-way-match exception rate</w:t>
            </w:r>
          </w:p>
        </w:tc>
        <w:tc>
          <w:tcPr>
            <w:tcW w:type="dxa" w:w="4910"/>
            <w:vAlign w:val="center"/>
          </w:tcPr>
          <w:p>
            <w:pPr>
              <w:spacing w:after="20"/>
            </w:pPr>
            <w:r>
              <w:rPr>
                <w:sz w:val="16"/>
              </w:rPr>
              <w:t>Invoices with PO/GRN/invoice mismatch ÷ invoices checked × 100</w:t>
            </w:r>
          </w:p>
        </w:tc>
      </w:tr>
      <w:tr>
        <w:tc>
          <w:tcPr>
            <w:tcW w:type="dxa" w:w="4910"/>
            <w:vAlign w:val="center"/>
          </w:tcPr>
          <w:p>
            <w:pPr>
              <w:spacing w:after="20"/>
            </w:pPr>
            <w:r>
              <w:rPr>
                <w:sz w:val="16"/>
              </w:rPr>
              <w:t>Negotiated savings</w:t>
            </w:r>
          </w:p>
        </w:tc>
        <w:tc>
          <w:tcPr>
            <w:tcW w:type="dxa" w:w="4910"/>
            <w:vAlign w:val="center"/>
          </w:tcPr>
          <w:p>
            <w:pPr>
              <w:spacing w:after="20"/>
            </w:pPr>
            <w:r>
              <w:rPr>
                <w:sz w:val="16"/>
              </w:rPr>
              <w:t>Like-for-like comparable baseline cost − approved comparable final cost</w:t>
            </w:r>
          </w:p>
        </w:tc>
      </w:tr>
    </w:tbl>
    <w:p>
      <w:pPr>
        <w:spacing w:after="20"/>
      </w:pPr>
    </w:p>
    <w:p>
      <w:r>
        <w:t xml:space="preserve">Baseline historical data and target thresholds are </w:t>
      </w:r>
      <w:r>
        <w:rPr>
          <w:b/>
          <w:i w:val="0"/>
        </w:rPr>
        <w:t>not supplied</w:t>
      </w:r>
      <w:r>
        <w:t>; reporting must not present invented savings or performance percentages.</w:t>
      </w:r>
    </w:p>
    <w:p/>
    <w:p>
      <w:pPr>
        <w:pStyle w:val="Heading2"/>
      </w:pPr>
      <w:r>
        <w:t>16. Non-functional, security and integration requirements</w:t>
      </w:r>
    </w:p>
    <w:p>
      <w:pPr>
        <w:pStyle w:val="ListBullet"/>
      </w:pPr>
      <w:r>
        <w:rPr>
          <w:b/>
          <w:i w:val="0"/>
        </w:rPr>
        <w:t>Security:</w:t>
      </w:r>
      <w:r>
        <w:t xml:space="preserve"> role-based permissions, least privilege, HTTPS, encryption at rest as appropriate, MFA for internal approvers, supplier URL token protection, file scanning, session protections, per-action audit log, document integrity snapshots and backup/recovery procedures.</w:t>
      </w:r>
    </w:p>
    <w:p>
      <w:pPr>
        <w:pStyle w:val="ListBullet"/>
      </w:pPr>
      <w:r>
        <w:rPr>
          <w:b/>
          <w:i w:val="0"/>
        </w:rPr>
        <w:t>Operational integrity:</w:t>
      </w:r>
      <w:r>
        <w:t xml:space="preserve"> event-driven email queue, delivery/retry log, idempotent automatic actions, clear error queues, system health monitoring and approval/task SLA alerts.</w:t>
      </w:r>
    </w:p>
    <w:p>
      <w:pPr>
        <w:pStyle w:val="ListBullet"/>
      </w:pPr>
      <w:r>
        <w:rPr>
          <w:b/>
          <w:i w:val="0"/>
        </w:rPr>
        <w:t>Usability:</w:t>
      </w:r>
      <w:r>
        <w:t xml:space="preserve"> desktop-first internal portal and mobile-responsive supplier forms; English UI and supplier-ready wording; consistent identifiers; searchable document library; accessible error messages.</w:t>
      </w:r>
    </w:p>
    <w:p>
      <w:pPr>
        <w:pStyle w:val="ListBullet"/>
      </w:pPr>
      <w:r>
        <w:rPr>
          <w:b/>
          <w:i w:val="0"/>
        </w:rPr>
        <w:t>Timekeeping:</w:t>
      </w:r>
      <w:r>
        <w:t xml:space="preserve"> UTC timestamp storage with Asia/Shanghai and Asia/Dhaka presentation; verified country-level working-day calendars and DST support for other supplier countries.</w:t>
      </w:r>
    </w:p>
    <w:p>
      <w:pPr>
        <w:pStyle w:val="ListBullet"/>
      </w:pPr>
      <w:r>
        <w:rPr>
          <w:b/>
          <w:i w:val="0"/>
        </w:rPr>
        <w:t>Master data:</w:t>
      </w:r>
      <w:r>
        <w:t xml:space="preserve"> supplier, material/specification, UOM conversion, FX rate source/date, port, terms, approval authorities, China holiday calendar, notification templates and mandatory technical fields.</w:t>
      </w:r>
    </w:p>
    <w:p>
      <w:pPr>
        <w:pStyle w:val="ListBullet"/>
      </w:pPr>
      <w:r>
        <w:rPr>
          <w:b/>
          <w:i w:val="0"/>
        </w:rPr>
        <w:t>Potential integrations:</w:t>
      </w:r>
      <w:r>
        <w:t xml:space="preserve"> inventory/ERP, accounting/AP, warehouse/GRN, email provider, document storage, bank/import register and BI dashboards. Integration targets and APIs are </w:t>
      </w:r>
      <w:r>
        <w:rPr>
          <w:b/>
          <w:i w:val="0"/>
        </w:rPr>
        <w:t>TBD</w:t>
      </w:r>
      <w:r>
        <w:t>.</w:t>
      </w:r>
    </w:p>
    <w:p>
      <w:pPr>
        <w:pStyle w:val="ListBullet"/>
      </w:pPr>
      <w:r>
        <w:rPr>
          <w:b/>
          <w:i w:val="0"/>
        </w:rPr>
        <w:t>Record retention:</w:t>
      </w:r>
      <w:r>
        <w:t xml:space="preserve"> OIL-defined legal/document retention period, access controls, archiving and deletion schedule; subject to applicable regulatory requirements.</w:t>
      </w:r>
    </w:p>
    <w:p>
      <w:pPr>
        <w:pStyle w:val="ListBullet"/>
      </w:pPr>
      <w:r>
        <w:rPr>
          <w:b/>
          <w:i w:val="0"/>
        </w:rPr>
        <w:t>Data quality:</w:t>
      </w:r>
      <w:r>
        <w:t xml:space="preserve"> mandatory code lists, duplicate checks, units, versioning, cross-checks and controlled import of supplier master data.</w:t>
      </w:r>
    </w:p>
    <w:p/>
    <w:p>
      <w:pPr>
        <w:pStyle w:val="Heading2"/>
      </w:pPr>
      <w:r>
        <w:t>17. Exceptions, control rules and open policy decisions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shd w:fill="DDF1F1"/>
          </w:tcPr>
          <w:p>
            <w:pPr>
              <w:spacing w:after="20"/>
            </w:pPr>
            <w:r>
              <w:rPr>
                <w:b/>
                <w:sz w:val="16"/>
              </w:rPr>
              <w:t>Scenario</w:t>
            </w:r>
          </w:p>
        </w:tc>
        <w:tc>
          <w:tcPr>
            <w:tcW w:type="dxa" w:w="3273"/>
            <w:vAlign w:val="center"/>
            <w:shd w:fill="DDF1F1"/>
          </w:tcPr>
          <w:p>
            <w:pPr>
              <w:spacing w:after="20"/>
            </w:pPr>
            <w:r>
              <w:rPr>
                <w:b/>
                <w:sz w:val="16"/>
              </w:rPr>
              <w:t>Expected system behavior</w:t>
            </w:r>
          </w:p>
        </w:tc>
        <w:tc>
          <w:tcPr>
            <w:tcW w:type="dxa" w:w="3273"/>
            <w:vAlign w:val="center"/>
            <w:shd w:fill="DDF1F1"/>
          </w:tcPr>
          <w:p>
            <w:pPr>
              <w:spacing w:after="20"/>
            </w:pPr>
            <w:r>
              <w:rPr>
                <w:b/>
                <w:sz w:val="16"/>
              </w:rPr>
              <w:t>Owner / authority</w:t>
            </w:r>
          </w:p>
        </w:tc>
      </w:tr>
      <w:tr>
        <w:tc>
          <w:tcPr>
            <w:tcW w:type="dxa" w:w="3273"/>
            <w:vAlign w:val="center"/>
          </w:tcPr>
          <w:p>
            <w:pPr>
              <w:spacing w:after="20"/>
            </w:pPr>
            <w:r>
              <w:rPr>
                <w:sz w:val="16"/>
              </w:rPr>
              <w:t>No supplier submits in time</w:t>
            </w:r>
          </w:p>
        </w:tc>
        <w:tc>
          <w:tcPr>
            <w:tcW w:type="dxa" w:w="3273"/>
            <w:vAlign w:val="center"/>
          </w:tcPr>
          <w:p>
            <w:pPr>
              <w:spacing w:after="20"/>
            </w:pPr>
            <w:r>
              <w:rPr>
                <w:sz w:val="16"/>
              </w:rPr>
              <w:t>Close links; flag no-bid; re-tender/extension by authorization</w:t>
            </w:r>
          </w:p>
        </w:tc>
        <w:tc>
          <w:tcPr>
            <w:tcW w:type="dxa" w:w="3273"/>
            <w:vAlign w:val="center"/>
          </w:tcPr>
          <w:p>
            <w:pPr>
              <w:spacing w:after="20"/>
            </w:pPr>
            <w:r>
              <w:rPr>
                <w:sz w:val="16"/>
              </w:rPr>
              <w:t>Procurement approver</w:t>
            </w:r>
          </w:p>
        </w:tc>
      </w:tr>
      <w:tr>
        <w:tc>
          <w:tcPr>
            <w:tcW w:type="dxa" w:w="3273"/>
            <w:vAlign w:val="center"/>
          </w:tcPr>
          <w:p>
            <w:pPr>
              <w:spacing w:after="20"/>
            </w:pPr>
            <w:r>
              <w:rPr>
                <w:sz w:val="16"/>
              </w:rPr>
              <w:t>Supplier requests late submission</w:t>
            </w:r>
          </w:p>
        </w:tc>
        <w:tc>
          <w:tcPr>
            <w:tcW w:type="dxa" w:w="3273"/>
            <w:vAlign w:val="center"/>
          </w:tcPr>
          <w:p>
            <w:pPr>
              <w:spacing w:after="20"/>
            </w:pPr>
            <w:r>
              <w:rPr>
                <w:sz w:val="16"/>
              </w:rPr>
              <w:t>Block unless exception approval, record original/extended cutoff</w:t>
            </w:r>
          </w:p>
        </w:tc>
        <w:tc>
          <w:tcPr>
            <w:tcW w:type="dxa" w:w="3273"/>
            <w:vAlign w:val="center"/>
          </w:tcPr>
          <w:p>
            <w:pPr>
              <w:spacing w:after="20"/>
            </w:pPr>
            <w:r>
              <w:rPr>
                <w:sz w:val="16"/>
              </w:rPr>
              <w:t>Authorized Procurement manager</w:t>
            </w:r>
          </w:p>
        </w:tc>
      </w:tr>
      <w:tr>
        <w:tc>
          <w:tcPr>
            <w:tcW w:type="dxa" w:w="3273"/>
            <w:vAlign w:val="center"/>
          </w:tcPr>
          <w:p>
            <w:pPr>
              <w:spacing w:after="20"/>
            </w:pPr>
            <w:r>
              <w:rPr>
                <w:sz w:val="16"/>
              </w:rPr>
              <w:t>China holiday schedule unavailable</w:t>
            </w:r>
          </w:p>
        </w:tc>
        <w:tc>
          <w:tcPr>
            <w:tcW w:type="dxa" w:w="3273"/>
            <w:vAlign w:val="center"/>
          </w:tcPr>
          <w:p>
            <w:pPr>
              <w:spacing w:after="20"/>
            </w:pPr>
            <w:r>
              <w:rPr>
                <w:sz w:val="16"/>
              </w:rPr>
              <w:t>Halt uncertain deadline computation; request calendar verification</w:t>
            </w:r>
          </w:p>
        </w:tc>
        <w:tc>
          <w:tcPr>
            <w:tcW w:type="dxa" w:w="3273"/>
            <w:vAlign w:val="center"/>
          </w:tcPr>
          <w:p>
            <w:pPr>
              <w:spacing w:after="20"/>
            </w:pPr>
            <w:r>
              <w:rPr>
                <w:sz w:val="16"/>
              </w:rPr>
              <w:t>System admin / Procurement</w:t>
            </w:r>
          </w:p>
        </w:tc>
      </w:tr>
      <w:tr>
        <w:tc>
          <w:tcPr>
            <w:tcW w:type="dxa" w:w="3273"/>
            <w:vAlign w:val="center"/>
          </w:tcPr>
          <w:p>
            <w:pPr>
              <w:spacing w:after="20"/>
            </w:pPr>
            <w:r>
              <w:rPr>
                <w:sz w:val="16"/>
              </w:rPr>
              <w:t>Supplier quote incomplete</w:t>
            </w:r>
          </w:p>
        </w:tc>
        <w:tc>
          <w:tcPr>
            <w:tcW w:type="dxa" w:w="3273"/>
            <w:vAlign w:val="center"/>
          </w:tcPr>
          <w:p>
            <w:pPr>
              <w:spacing w:after="20"/>
            </w:pPr>
            <w:r>
              <w:rPr>
                <w:sz w:val="16"/>
              </w:rPr>
              <w:t>Save draft; block final submit for mandatory fields</w:t>
            </w:r>
          </w:p>
        </w:tc>
        <w:tc>
          <w:tcPr>
            <w:tcW w:type="dxa" w:w="3273"/>
            <w:vAlign w:val="center"/>
          </w:tcPr>
          <w:p>
            <w:pPr>
              <w:spacing w:after="20"/>
            </w:pPr>
            <w:r>
              <w:rPr>
                <w:sz w:val="16"/>
              </w:rPr>
              <w:t>Supplier</w:t>
            </w:r>
          </w:p>
        </w:tc>
      </w:tr>
      <w:tr>
        <w:tc>
          <w:tcPr>
            <w:tcW w:type="dxa" w:w="3273"/>
            <w:vAlign w:val="center"/>
          </w:tcPr>
          <w:p>
            <w:pPr>
              <w:spacing w:after="20"/>
            </w:pPr>
            <w:r>
              <w:rPr>
                <w:sz w:val="16"/>
              </w:rPr>
              <w:t>Only one responsive supplier</w:t>
            </w:r>
          </w:p>
        </w:tc>
        <w:tc>
          <w:tcPr>
            <w:tcW w:type="dxa" w:w="3273"/>
            <w:vAlign w:val="center"/>
          </w:tcPr>
          <w:p>
            <w:pPr>
              <w:spacing w:after="20"/>
            </w:pPr>
            <w:r>
              <w:rPr>
                <w:sz w:val="16"/>
              </w:rPr>
              <w:t>Record sole quote and justification, extra approval if policy requires</w:t>
            </w:r>
          </w:p>
        </w:tc>
        <w:tc>
          <w:tcPr>
            <w:tcW w:type="dxa" w:w="3273"/>
            <w:vAlign w:val="center"/>
          </w:tcPr>
          <w:p>
            <w:pPr>
              <w:spacing w:after="20"/>
            </w:pPr>
            <w:r>
              <w:rPr>
                <w:sz w:val="16"/>
              </w:rPr>
              <w:t>Procurement / Management</w:t>
            </w:r>
          </w:p>
        </w:tc>
      </w:tr>
      <w:tr>
        <w:tc>
          <w:tcPr>
            <w:tcW w:type="dxa" w:w="3273"/>
            <w:vAlign w:val="center"/>
          </w:tcPr>
          <w:p>
            <w:pPr>
              <w:spacing w:after="20"/>
            </w:pPr>
            <w:r>
              <w:rPr>
                <w:sz w:val="16"/>
              </w:rPr>
              <w:t>Sample rejected</w:t>
            </w:r>
          </w:p>
        </w:tc>
        <w:tc>
          <w:tcPr>
            <w:tcW w:type="dxa" w:w="3273"/>
            <w:vAlign w:val="center"/>
          </w:tcPr>
          <w:p>
            <w:pPr>
              <w:spacing w:after="20"/>
            </w:pPr>
            <w:r>
              <w:rPr>
                <w:sz w:val="16"/>
              </w:rPr>
              <w:t>Mark quote ineligible, trigger clarification/re-sourcing</w:t>
            </w:r>
          </w:p>
        </w:tc>
        <w:tc>
          <w:tcPr>
            <w:tcW w:type="dxa" w:w="3273"/>
            <w:vAlign w:val="center"/>
          </w:tcPr>
          <w:p>
            <w:pPr>
              <w:spacing w:after="20"/>
            </w:pPr>
            <w:r>
              <w:rPr>
                <w:sz w:val="16"/>
              </w:rPr>
              <w:t>QA / Marketing</w:t>
            </w:r>
          </w:p>
        </w:tc>
      </w:tr>
      <w:tr>
        <w:tc>
          <w:tcPr>
            <w:tcW w:type="dxa" w:w="3273"/>
            <w:vAlign w:val="center"/>
          </w:tcPr>
          <w:p>
            <w:pPr>
              <w:spacing w:after="20"/>
            </w:pPr>
            <w:r>
              <w:rPr>
                <w:sz w:val="16"/>
              </w:rPr>
              <w:t>Incoterms quoted without named location</w:t>
            </w:r>
          </w:p>
        </w:tc>
        <w:tc>
          <w:tcPr>
            <w:tcW w:type="dxa" w:w="3273"/>
            <w:vAlign w:val="center"/>
          </w:tcPr>
          <w:p>
            <w:pPr>
              <w:spacing w:after="20"/>
            </w:pPr>
            <w:r>
              <w:rPr>
                <w:sz w:val="16"/>
              </w:rPr>
              <w:t>Block completeness or flag hard exception</w:t>
            </w:r>
          </w:p>
        </w:tc>
        <w:tc>
          <w:tcPr>
            <w:tcW w:type="dxa" w:w="3273"/>
            <w:vAlign w:val="center"/>
          </w:tcPr>
          <w:p>
            <w:pPr>
              <w:spacing w:after="20"/>
            </w:pPr>
            <w:r>
              <w:rPr>
                <w:sz w:val="16"/>
              </w:rPr>
              <w:t>Procurement</w:t>
            </w:r>
          </w:p>
        </w:tc>
      </w:tr>
      <w:tr>
        <w:tc>
          <w:tcPr>
            <w:tcW w:type="dxa" w:w="3273"/>
            <w:vAlign w:val="center"/>
          </w:tcPr>
          <w:p>
            <w:pPr>
              <w:spacing w:after="20"/>
            </w:pPr>
            <w:r>
              <w:rPr>
                <w:sz w:val="16"/>
              </w:rPr>
              <w:t>Post-submission quote revision</w:t>
            </w:r>
          </w:p>
        </w:tc>
        <w:tc>
          <w:tcPr>
            <w:tcW w:type="dxa" w:w="3273"/>
            <w:vAlign w:val="center"/>
          </w:tcPr>
          <w:p>
            <w:pPr>
              <w:spacing w:after="20"/>
            </w:pPr>
            <w:r>
              <w:rPr>
                <w:sz w:val="16"/>
              </w:rPr>
              <w:t>New version with timestamp; approval/visibility rules</w:t>
            </w:r>
          </w:p>
        </w:tc>
        <w:tc>
          <w:tcPr>
            <w:tcW w:type="dxa" w:w="3273"/>
            <w:vAlign w:val="center"/>
          </w:tcPr>
          <w:p>
            <w:pPr>
              <w:spacing w:after="20"/>
            </w:pPr>
            <w:r>
              <w:rPr>
                <w:sz w:val="16"/>
              </w:rPr>
              <w:t>Supplier / Procurement</w:t>
            </w:r>
          </w:p>
        </w:tc>
      </w:tr>
      <w:tr>
        <w:tc>
          <w:tcPr>
            <w:tcW w:type="dxa" w:w="3273"/>
            <w:vAlign w:val="center"/>
          </w:tcPr>
          <w:p>
            <w:pPr>
              <w:spacing w:after="20"/>
            </w:pPr>
            <w:r>
              <w:rPr>
                <w:sz w:val="16"/>
              </w:rPr>
              <w:t>Material change after Finance/ED approval</w:t>
            </w:r>
          </w:p>
        </w:tc>
        <w:tc>
          <w:tcPr>
            <w:tcW w:type="dxa" w:w="3273"/>
            <w:vAlign w:val="center"/>
          </w:tcPr>
          <w:p>
            <w:pPr>
              <w:spacing w:after="20"/>
            </w:pPr>
            <w:r>
              <w:rPr>
                <w:sz w:val="16"/>
              </w:rPr>
              <w:t>Freeze send and route for reapproval</w:t>
            </w:r>
          </w:p>
        </w:tc>
        <w:tc>
          <w:tcPr>
            <w:tcW w:type="dxa" w:w="3273"/>
            <w:vAlign w:val="center"/>
          </w:tcPr>
          <w:p>
            <w:pPr>
              <w:spacing w:after="20"/>
            </w:pPr>
            <w:r>
              <w:rPr>
                <w:sz w:val="16"/>
              </w:rPr>
              <w:t>Finance / Final approver</w:t>
            </w:r>
          </w:p>
        </w:tc>
      </w:tr>
      <w:tr>
        <w:tc>
          <w:tcPr>
            <w:tcW w:type="dxa" w:w="3273"/>
            <w:vAlign w:val="center"/>
          </w:tcPr>
          <w:p>
            <w:pPr>
              <w:spacing w:after="20"/>
            </w:pPr>
            <w:r>
              <w:rPr>
                <w:sz w:val="16"/>
              </w:rPr>
              <w:t>PO automatic email failed</w:t>
            </w:r>
          </w:p>
        </w:tc>
        <w:tc>
          <w:tcPr>
            <w:tcW w:type="dxa" w:w="3273"/>
            <w:vAlign w:val="center"/>
          </w:tcPr>
          <w:p>
            <w:pPr>
              <w:spacing w:after="20"/>
            </w:pPr>
            <w:r>
              <w:rPr>
                <w:sz w:val="16"/>
              </w:rPr>
              <w:t>Hold status, alert owner, safe retry and send audit</w:t>
            </w:r>
          </w:p>
        </w:tc>
        <w:tc>
          <w:tcPr>
            <w:tcW w:type="dxa" w:w="3273"/>
            <w:vAlign w:val="center"/>
          </w:tcPr>
          <w:p>
            <w:pPr>
              <w:spacing w:after="20"/>
            </w:pPr>
            <w:r>
              <w:rPr>
                <w:sz w:val="16"/>
              </w:rPr>
              <w:t>Procurement / IT</w:t>
            </w:r>
          </w:p>
        </w:tc>
      </w:tr>
      <w:tr>
        <w:tc>
          <w:tcPr>
            <w:tcW w:type="dxa" w:w="3273"/>
            <w:vAlign w:val="center"/>
          </w:tcPr>
          <w:p>
            <w:pPr>
              <w:spacing w:after="20"/>
            </w:pPr>
            <w:r>
              <w:rPr>
                <w:sz w:val="16"/>
              </w:rPr>
              <w:t>Supplier disputes PO</w:t>
            </w:r>
          </w:p>
        </w:tc>
        <w:tc>
          <w:tcPr>
            <w:tcW w:type="dxa" w:w="3273"/>
            <w:vAlign w:val="center"/>
          </w:tcPr>
          <w:p>
            <w:pPr>
              <w:spacing w:after="20"/>
            </w:pPr>
            <w:r>
              <w:rPr>
                <w:sz w:val="16"/>
              </w:rPr>
              <w:t>Stop PI progression until resolution and relevant reapproval</w:t>
            </w:r>
          </w:p>
        </w:tc>
        <w:tc>
          <w:tcPr>
            <w:tcW w:type="dxa" w:w="3273"/>
            <w:vAlign w:val="center"/>
          </w:tcPr>
          <w:p>
            <w:pPr>
              <w:spacing w:after="20"/>
            </w:pPr>
            <w:r>
              <w:rPr>
                <w:sz w:val="16"/>
              </w:rPr>
              <w:t>Procurement / Finance</w:t>
            </w:r>
          </w:p>
        </w:tc>
      </w:tr>
      <w:tr>
        <w:tc>
          <w:tcPr>
            <w:tcW w:type="dxa" w:w="3273"/>
            <w:vAlign w:val="center"/>
          </w:tcPr>
          <w:p>
            <w:pPr>
              <w:spacing w:after="20"/>
            </w:pPr>
            <w:r>
              <w:rPr>
                <w:sz w:val="16"/>
              </w:rPr>
              <w:t>PO vs PI mismatch</w:t>
            </w:r>
          </w:p>
        </w:tc>
        <w:tc>
          <w:tcPr>
            <w:tcW w:type="dxa" w:w="3273"/>
            <w:vAlign w:val="center"/>
          </w:tcPr>
          <w:p>
            <w:pPr>
              <w:spacing w:after="20"/>
            </w:pPr>
            <w:r>
              <w:rPr>
                <w:sz w:val="16"/>
              </w:rPr>
              <w:t>Flag line-level discrepancy and prevent unapproved payment flow</w:t>
            </w:r>
          </w:p>
        </w:tc>
        <w:tc>
          <w:tcPr>
            <w:tcW w:type="dxa" w:w="3273"/>
            <w:vAlign w:val="center"/>
          </w:tcPr>
          <w:p>
            <w:pPr>
              <w:spacing w:after="20"/>
            </w:pPr>
            <w:r>
              <w:rPr>
                <w:sz w:val="16"/>
              </w:rPr>
              <w:t>Import / Finance</w:t>
            </w:r>
          </w:p>
        </w:tc>
      </w:tr>
      <w:tr>
        <w:tc>
          <w:tcPr>
            <w:tcW w:type="dxa" w:w="3273"/>
            <w:vAlign w:val="center"/>
          </w:tcPr>
          <w:p>
            <w:pPr>
              <w:spacing w:after="20"/>
            </w:pPr>
            <w:r>
              <w:rPr>
                <w:sz w:val="16"/>
              </w:rPr>
              <w:t>Vendor bank details changed</w:t>
            </w:r>
          </w:p>
        </w:tc>
        <w:tc>
          <w:tcPr>
            <w:tcW w:type="dxa" w:w="3273"/>
            <w:vAlign w:val="center"/>
          </w:tcPr>
          <w:p>
            <w:pPr>
              <w:spacing w:after="20"/>
            </w:pPr>
            <w:r>
              <w:rPr>
                <w:sz w:val="16"/>
              </w:rPr>
              <w:t>Independent verification and dual control before settlement</w:t>
            </w:r>
          </w:p>
        </w:tc>
        <w:tc>
          <w:tcPr>
            <w:tcW w:type="dxa" w:w="3273"/>
            <w:vAlign w:val="center"/>
          </w:tcPr>
          <w:p>
            <w:pPr>
              <w:spacing w:after="20"/>
            </w:pPr>
            <w:r>
              <w:rPr>
                <w:sz w:val="16"/>
              </w:rPr>
              <w:t>Finance</w:t>
            </w:r>
          </w:p>
        </w:tc>
      </w:tr>
      <w:tr>
        <w:tc>
          <w:tcPr>
            <w:tcW w:type="dxa" w:w="3273"/>
            <w:vAlign w:val="center"/>
          </w:tcPr>
          <w:p>
            <w:pPr>
              <w:spacing w:after="20"/>
            </w:pPr>
            <w:r>
              <w:rPr>
                <w:sz w:val="16"/>
              </w:rPr>
              <w:t>Goods damaged / short / fail QC</w:t>
            </w:r>
          </w:p>
        </w:tc>
        <w:tc>
          <w:tcPr>
            <w:tcW w:type="dxa" w:w="3273"/>
            <w:vAlign w:val="center"/>
          </w:tcPr>
          <w:p>
            <w:pPr>
              <w:spacing w:after="20"/>
            </w:pPr>
            <w:r>
              <w:rPr>
                <w:sz w:val="16"/>
              </w:rPr>
              <w:t>Quarantine discrepancies, claims and payable hold</w:t>
            </w:r>
          </w:p>
        </w:tc>
        <w:tc>
          <w:tcPr>
            <w:tcW w:type="dxa" w:w="3273"/>
            <w:vAlign w:val="center"/>
          </w:tcPr>
          <w:p>
            <w:pPr>
              <w:spacing w:after="20"/>
            </w:pPr>
            <w:r>
              <w:rPr>
                <w:sz w:val="16"/>
              </w:rPr>
              <w:t>Store / QA / Procurement</w:t>
            </w:r>
          </w:p>
        </w:tc>
      </w:tr>
      <w:tr>
        <w:tc>
          <w:tcPr>
            <w:tcW w:type="dxa" w:w="3273"/>
            <w:vAlign w:val="center"/>
          </w:tcPr>
          <w:p>
            <w:pPr>
              <w:spacing w:after="20"/>
            </w:pPr>
            <w:r>
              <w:rPr>
                <w:sz w:val="16"/>
              </w:rPr>
              <w:t>Duplicate vendor invoice</w:t>
            </w:r>
          </w:p>
        </w:tc>
        <w:tc>
          <w:tcPr>
            <w:tcW w:type="dxa" w:w="3273"/>
            <w:vAlign w:val="center"/>
          </w:tcPr>
          <w:p>
            <w:pPr>
              <w:spacing w:after="20"/>
            </w:pPr>
            <w:r>
              <w:rPr>
                <w:sz w:val="16"/>
              </w:rPr>
              <w:t>Block duplicate and investigate</w:t>
            </w:r>
          </w:p>
        </w:tc>
        <w:tc>
          <w:tcPr>
            <w:tcW w:type="dxa" w:w="3273"/>
            <w:vAlign w:val="center"/>
          </w:tcPr>
          <w:p>
            <w:pPr>
              <w:spacing w:after="20"/>
            </w:pPr>
            <w:r>
              <w:rPr>
                <w:sz w:val="16"/>
              </w:rPr>
              <w:t>Finance</w:t>
            </w:r>
          </w:p>
        </w:tc>
      </w:tr>
      <w:tr>
        <w:tc>
          <w:tcPr>
            <w:tcW w:type="dxa" w:w="3273"/>
            <w:vAlign w:val="center"/>
          </w:tcPr>
          <w:p>
            <w:pPr>
              <w:spacing w:after="20"/>
            </w:pPr>
            <w:r>
              <w:rPr>
                <w:sz w:val="16"/>
              </w:rPr>
              <w:t>Advance paid but order cancelled</w:t>
            </w:r>
          </w:p>
        </w:tc>
        <w:tc>
          <w:tcPr>
            <w:tcW w:type="dxa" w:w="3273"/>
            <w:vAlign w:val="center"/>
          </w:tcPr>
          <w:p>
            <w:pPr>
              <w:spacing w:after="20"/>
            </w:pPr>
            <w:r>
              <w:rPr>
                <w:sz w:val="16"/>
              </w:rPr>
              <w:t>Settlement/recovery workflow and escalation</w:t>
            </w:r>
          </w:p>
        </w:tc>
        <w:tc>
          <w:tcPr>
            <w:tcW w:type="dxa" w:w="3273"/>
            <w:vAlign w:val="center"/>
          </w:tcPr>
          <w:p>
            <w:pPr>
              <w:spacing w:after="20"/>
            </w:pPr>
            <w:r>
              <w:rPr>
                <w:sz w:val="16"/>
              </w:rPr>
              <w:t>Finance / Procurement</w:t>
            </w:r>
          </w:p>
        </w:tc>
      </w:tr>
    </w:tbl>
    <w:p>
      <w:pPr>
        <w:spacing w:after="20"/>
      </w:pPr>
    </w:p>
    <w:p>
      <w:pPr>
        <w:pStyle w:val="Heading3"/>
      </w:pPr>
      <w:r>
        <w:t>Policy parameters requiring formal confirmation</w:t>
      </w:r>
    </w:p>
    <w:p>
      <w:pPr>
        <w:pStyle w:val="ListNumber"/>
      </w:pPr>
      <w:r>
        <w:t>Procurement authority matrix and approval thresholds (including whether the ultimate approval title is ED, MD or authorized delegate).</w:t>
      </w:r>
    </w:p>
    <w:p>
      <w:pPr>
        <w:pStyle w:val="ListNumber"/>
      </w:pPr>
      <w:r>
        <w:t xml:space="preserve">Whether the </w:t>
      </w:r>
      <w:r>
        <w:rPr>
          <w:b/>
          <w:i w:val="0"/>
        </w:rPr>
        <w:t>counting convention</w:t>
      </w:r>
      <w:r>
        <w:t xml:space="preserve"> for China RFQ deadlines excludes the invitation date in every circumstance.</w:t>
      </w:r>
    </w:p>
    <w:p>
      <w:pPr>
        <w:pStyle w:val="ListNumber"/>
      </w:pPr>
      <w:r>
        <w:t>Default closing hour and whether supplier calendars are chosen per supplier or per RFQ.</w:t>
      </w:r>
    </w:p>
    <w:p>
      <w:pPr>
        <w:pStyle w:val="ListNumber"/>
      </w:pPr>
      <w:r>
        <w:t>Sample mandatory/waiver criteria by RM type and acceptable deviations/tolerances.</w:t>
      </w:r>
    </w:p>
    <w:p>
      <w:pPr>
        <w:pStyle w:val="ListNumber"/>
      </w:pPr>
      <w:r>
        <w:t>Vendor prequalification, quotation confidentiality and bid-opening policy.</w:t>
      </w:r>
    </w:p>
    <w:p>
      <w:pPr>
        <w:pStyle w:val="ListNumber"/>
      </w:pPr>
      <w:r>
        <w:t>RFQ extensions, re-tendering, emergency sourcing and single-source approval rights.</w:t>
      </w:r>
    </w:p>
    <w:p>
      <w:pPr>
        <w:pStyle w:val="ListNumber"/>
      </w:pPr>
      <w:r>
        <w:t>Supplier performance scoring weights and tie-break logic.</w:t>
      </w:r>
    </w:p>
    <w:p>
      <w:pPr>
        <w:pStyle w:val="ListNumber"/>
      </w:pPr>
      <w:r>
        <w:t>PO acknowledgment SLA, PO cancellation and PO amendment authority.</w:t>
      </w:r>
    </w:p>
    <w:p>
      <w:pPr>
        <w:pStyle w:val="ListNumber"/>
      </w:pPr>
      <w:r>
        <w:t>Freight, FX and landed-cost standard assumptions, including bank/finance charges.</w:t>
      </w:r>
    </w:p>
    <w:p>
      <w:pPr>
        <w:pStyle w:val="ListNumber"/>
      </w:pPr>
      <w:r>
        <w:t>Finance three-way-match tolerances, advance-payment policy and invoice settlement controls.</w:t>
      </w:r>
    </w:p>
    <w:p>
      <w:pPr>
        <w:pStyle w:val="ListNumber"/>
      </w:pPr>
      <w:r>
        <w:t>Required documents, mandatory legal terms and standard supplier PO clauses.</w:t>
      </w:r>
    </w:p>
    <w:p>
      <w:pPr>
        <w:pStyle w:val="ListNumber"/>
      </w:pPr>
      <w:r>
        <w:t>ERP/email/bank integrations, data migration, retention and operating support owners.</w:t>
      </w:r>
    </w:p>
    <w:p/>
    <w:p>
      <w:pPr>
        <w:pStyle w:val="Heading2"/>
      </w:pPr>
      <w:r>
        <w:t>18. Example acceptance criteria for software testing</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shd w:fill="DDF1F1"/>
          </w:tcPr>
          <w:p>
            <w:pPr>
              <w:spacing w:after="20"/>
            </w:pPr>
            <w:r>
              <w:rPr>
                <w:b/>
                <w:sz w:val="16"/>
              </w:rPr>
              <w:t>Test ID</w:t>
            </w:r>
          </w:p>
        </w:tc>
        <w:tc>
          <w:tcPr>
            <w:tcW w:type="dxa" w:w="3273"/>
            <w:vAlign w:val="center"/>
            <w:shd w:fill="DDF1F1"/>
          </w:tcPr>
          <w:p>
            <w:pPr>
              <w:spacing w:after="20"/>
            </w:pPr>
            <w:r>
              <w:rPr>
                <w:b/>
                <w:sz w:val="16"/>
              </w:rPr>
              <w:t>Given / when</w:t>
            </w:r>
          </w:p>
        </w:tc>
        <w:tc>
          <w:tcPr>
            <w:tcW w:type="dxa" w:w="3273"/>
            <w:vAlign w:val="center"/>
            <w:shd w:fill="DDF1F1"/>
          </w:tcPr>
          <w:p>
            <w:pPr>
              <w:spacing w:after="20"/>
            </w:pPr>
            <w:r>
              <w:rPr>
                <w:b/>
                <w:sz w:val="16"/>
              </w:rPr>
              <w:t>Expected outcome</w:t>
            </w:r>
          </w:p>
        </w:tc>
      </w:tr>
      <w:tr>
        <w:tc>
          <w:tcPr>
            <w:tcW w:type="dxa" w:w="3273"/>
            <w:vAlign w:val="center"/>
          </w:tcPr>
          <w:p>
            <w:pPr>
              <w:spacing w:after="20"/>
            </w:pPr>
            <w:r>
              <w:rPr>
                <w:sz w:val="16"/>
              </w:rPr>
              <w:t>AC-01</w:t>
            </w:r>
          </w:p>
        </w:tc>
        <w:tc>
          <w:tcPr>
            <w:tcW w:type="dxa" w:w="3273"/>
            <w:vAlign w:val="center"/>
          </w:tcPr>
          <w:p>
            <w:pPr>
              <w:spacing w:after="20"/>
            </w:pPr>
            <w:r>
              <w:rPr>
                <w:sz w:val="16"/>
              </w:rPr>
              <w:t>Marketing submits complete PR</w:t>
            </w:r>
          </w:p>
        </w:tc>
        <w:tc>
          <w:tcPr>
            <w:tcW w:type="dxa" w:w="3273"/>
            <w:vAlign w:val="center"/>
          </w:tcPr>
          <w:p>
            <w:pPr>
              <w:spacing w:after="20"/>
            </w:pPr>
            <w:r>
              <w:rPr>
                <w:sz w:val="16"/>
              </w:rPr>
              <w:t>Sequential PR ID created; Procurement notified</w:t>
            </w:r>
          </w:p>
        </w:tc>
      </w:tr>
      <w:tr>
        <w:tc>
          <w:tcPr>
            <w:tcW w:type="dxa" w:w="3273"/>
            <w:vAlign w:val="center"/>
          </w:tcPr>
          <w:p>
            <w:pPr>
              <w:spacing w:after="20"/>
            </w:pPr>
            <w:r>
              <w:rPr>
                <w:sz w:val="16"/>
              </w:rPr>
              <w:t>AC-02</w:t>
            </w:r>
          </w:p>
        </w:tc>
        <w:tc>
          <w:tcPr>
            <w:tcW w:type="dxa" w:w="3273"/>
            <w:vAlign w:val="center"/>
          </w:tcPr>
          <w:p>
            <w:pPr>
              <w:spacing w:after="20"/>
            </w:pPr>
            <w:r>
              <w:rPr>
                <w:sz w:val="16"/>
              </w:rPr>
              <w:t>Two compatible PRs consolidated</w:t>
            </w:r>
          </w:p>
        </w:tc>
        <w:tc>
          <w:tcPr>
            <w:tcW w:type="dxa" w:w="3273"/>
            <w:vAlign w:val="center"/>
          </w:tcPr>
          <w:p>
            <w:pPr>
              <w:spacing w:after="20"/>
            </w:pPr>
            <w:r>
              <w:rPr>
                <w:sz w:val="16"/>
              </w:rPr>
              <w:t>Quantities trace back to originals; no double allocation</w:t>
            </w:r>
          </w:p>
        </w:tc>
      </w:tr>
      <w:tr>
        <w:tc>
          <w:tcPr>
            <w:tcW w:type="dxa" w:w="3273"/>
            <w:vAlign w:val="center"/>
          </w:tcPr>
          <w:p>
            <w:pPr>
              <w:spacing w:after="20"/>
            </w:pPr>
            <w:r>
              <w:rPr>
                <w:sz w:val="16"/>
              </w:rPr>
              <w:t>AC-03</w:t>
            </w:r>
          </w:p>
        </w:tc>
        <w:tc>
          <w:tcPr>
            <w:tcW w:type="dxa" w:w="3273"/>
            <w:vAlign w:val="center"/>
          </w:tcPr>
          <w:p>
            <w:pPr>
              <w:spacing w:after="20"/>
            </w:pPr>
            <w:r>
              <w:rPr>
                <w:sz w:val="16"/>
              </w:rPr>
              <w:t>RFQ published for three China vendors</w:t>
            </w:r>
          </w:p>
        </w:tc>
        <w:tc>
          <w:tcPr>
            <w:tcW w:type="dxa" w:w="3273"/>
            <w:vAlign w:val="center"/>
          </w:tcPr>
          <w:p>
            <w:pPr>
              <w:spacing w:after="20"/>
            </w:pPr>
            <w:r>
              <w:rPr>
                <w:sz w:val="16"/>
              </w:rPr>
              <w:t>Three distinct, vendor-bound URLs sent and logged</w:t>
            </w:r>
          </w:p>
        </w:tc>
      </w:tr>
      <w:tr>
        <w:tc>
          <w:tcPr>
            <w:tcW w:type="dxa" w:w="3273"/>
            <w:vAlign w:val="center"/>
          </w:tcPr>
          <w:p>
            <w:pPr>
              <w:spacing w:after="20"/>
            </w:pPr>
            <w:r>
              <w:rPr>
                <w:sz w:val="16"/>
              </w:rPr>
              <w:t>AC-04</w:t>
            </w:r>
          </w:p>
        </w:tc>
        <w:tc>
          <w:tcPr>
            <w:tcW w:type="dxa" w:w="3273"/>
            <w:vAlign w:val="center"/>
          </w:tcPr>
          <w:p>
            <w:pPr>
              <w:spacing w:after="20"/>
            </w:pPr>
            <w:r>
              <w:rPr>
                <w:sz w:val="16"/>
              </w:rPr>
              <w:t>Quote opened by vendor A</w:t>
            </w:r>
          </w:p>
        </w:tc>
        <w:tc>
          <w:tcPr>
            <w:tcW w:type="dxa" w:w="3273"/>
            <w:vAlign w:val="center"/>
          </w:tcPr>
          <w:p>
            <w:pPr>
              <w:spacing w:after="20"/>
            </w:pPr>
            <w:r>
              <w:rPr>
                <w:sz w:val="16"/>
              </w:rPr>
              <w:t>Vendor A cannot access vendor B's response</w:t>
            </w:r>
          </w:p>
        </w:tc>
      </w:tr>
      <w:tr>
        <w:tc>
          <w:tcPr>
            <w:tcW w:type="dxa" w:w="3273"/>
            <w:vAlign w:val="center"/>
          </w:tcPr>
          <w:p>
            <w:pPr>
              <w:spacing w:after="20"/>
            </w:pPr>
            <w:r>
              <w:rPr>
                <w:sz w:val="16"/>
              </w:rPr>
              <w:t>AC-05</w:t>
            </w:r>
          </w:p>
        </w:tc>
        <w:tc>
          <w:tcPr>
            <w:tcW w:type="dxa" w:w="3273"/>
            <w:vAlign w:val="center"/>
          </w:tcPr>
          <w:p>
            <w:pPr>
              <w:spacing w:after="20"/>
            </w:pPr>
            <w:r>
              <w:rPr>
                <w:sz w:val="16"/>
              </w:rPr>
              <w:t>RFQ crosses official China holiday</w:t>
            </w:r>
          </w:p>
        </w:tc>
        <w:tc>
          <w:tcPr>
            <w:tcW w:type="dxa" w:w="3273"/>
            <w:vAlign w:val="center"/>
          </w:tcPr>
          <w:p>
            <w:pPr>
              <w:spacing w:after="20"/>
            </w:pPr>
            <w:r>
              <w:rPr>
                <w:sz w:val="16"/>
              </w:rPr>
              <w:t>Deadline adjusts according to approved calendar</w:t>
            </w:r>
          </w:p>
        </w:tc>
      </w:tr>
      <w:tr>
        <w:tc>
          <w:tcPr>
            <w:tcW w:type="dxa" w:w="3273"/>
            <w:vAlign w:val="center"/>
          </w:tcPr>
          <w:p>
            <w:pPr>
              <w:spacing w:after="20"/>
            </w:pPr>
            <w:r>
              <w:rPr>
                <w:sz w:val="16"/>
              </w:rPr>
              <w:t>AC-06</w:t>
            </w:r>
          </w:p>
        </w:tc>
        <w:tc>
          <w:tcPr>
            <w:tcW w:type="dxa" w:w="3273"/>
            <w:vAlign w:val="center"/>
          </w:tcPr>
          <w:p>
            <w:pPr>
              <w:spacing w:after="20"/>
            </w:pPr>
            <w:r>
              <w:rPr>
                <w:sz w:val="16"/>
              </w:rPr>
              <w:t>RFQ reaches cutoff</w:t>
            </w:r>
          </w:p>
        </w:tc>
        <w:tc>
          <w:tcPr>
            <w:tcW w:type="dxa" w:w="3273"/>
            <w:vAlign w:val="center"/>
          </w:tcPr>
          <w:p>
            <w:pPr>
              <w:spacing w:after="20"/>
            </w:pPr>
            <w:r>
              <w:rPr>
                <w:sz w:val="16"/>
              </w:rPr>
              <w:t>New final submissions rejected server-side; old submissions preserved</w:t>
            </w:r>
          </w:p>
        </w:tc>
      </w:tr>
      <w:tr>
        <w:tc>
          <w:tcPr>
            <w:tcW w:type="dxa" w:w="3273"/>
            <w:vAlign w:val="center"/>
          </w:tcPr>
          <w:p>
            <w:pPr>
              <w:spacing w:after="20"/>
            </w:pPr>
            <w:r>
              <w:rPr>
                <w:sz w:val="16"/>
              </w:rPr>
              <w:t>AC-07</w:t>
            </w:r>
          </w:p>
        </w:tc>
        <w:tc>
          <w:tcPr>
            <w:tcW w:type="dxa" w:w="3273"/>
            <w:vAlign w:val="center"/>
          </w:tcPr>
          <w:p>
            <w:pPr>
              <w:spacing w:after="20"/>
            </w:pPr>
            <w:r>
              <w:rPr>
                <w:sz w:val="16"/>
              </w:rPr>
              <w:t>Procurement approves deadline extension</w:t>
            </w:r>
          </w:p>
        </w:tc>
        <w:tc>
          <w:tcPr>
            <w:tcW w:type="dxa" w:w="3273"/>
            <w:vAlign w:val="center"/>
          </w:tcPr>
          <w:p>
            <w:pPr>
              <w:spacing w:after="20"/>
            </w:pPr>
            <w:r>
              <w:rPr>
                <w:sz w:val="16"/>
              </w:rPr>
              <w:t>Prior deadline retained, new one communicated, audit entry created</w:t>
            </w:r>
          </w:p>
        </w:tc>
      </w:tr>
      <w:tr>
        <w:tc>
          <w:tcPr>
            <w:tcW w:type="dxa" w:w="3273"/>
            <w:vAlign w:val="center"/>
          </w:tcPr>
          <w:p>
            <w:pPr>
              <w:spacing w:after="20"/>
            </w:pPr>
            <w:r>
              <w:rPr>
                <w:sz w:val="16"/>
              </w:rPr>
              <w:t>AC-08</w:t>
            </w:r>
          </w:p>
        </w:tc>
        <w:tc>
          <w:tcPr>
            <w:tcW w:type="dxa" w:w="3273"/>
            <w:vAlign w:val="center"/>
          </w:tcPr>
          <w:p>
            <w:pPr>
              <w:spacing w:after="20"/>
            </w:pPr>
            <w:r>
              <w:rPr>
                <w:sz w:val="16"/>
              </w:rPr>
              <w:t>Supplier leaves required GSM empty for relevant fabric</w:t>
            </w:r>
          </w:p>
        </w:tc>
        <w:tc>
          <w:tcPr>
            <w:tcW w:type="dxa" w:w="3273"/>
            <w:vAlign w:val="center"/>
          </w:tcPr>
          <w:p>
            <w:pPr>
              <w:spacing w:after="20"/>
            </w:pPr>
            <w:r>
              <w:rPr>
                <w:sz w:val="16"/>
              </w:rPr>
              <w:t>Final submission blocked with clear validation error</w:t>
            </w:r>
          </w:p>
        </w:tc>
      </w:tr>
      <w:tr>
        <w:tc>
          <w:tcPr>
            <w:tcW w:type="dxa" w:w="3273"/>
            <w:vAlign w:val="center"/>
          </w:tcPr>
          <w:p>
            <w:pPr>
              <w:spacing w:after="20"/>
            </w:pPr>
            <w:r>
              <w:rPr>
                <w:sz w:val="16"/>
              </w:rPr>
              <w:t>AC-09</w:t>
            </w:r>
          </w:p>
        </w:tc>
        <w:tc>
          <w:tcPr>
            <w:tcW w:type="dxa" w:w="3273"/>
            <w:vAlign w:val="center"/>
          </w:tcPr>
          <w:p>
            <w:pPr>
              <w:spacing w:after="20"/>
            </w:pPr>
            <w:r>
              <w:rPr>
                <w:sz w:val="16"/>
              </w:rPr>
              <w:t>Quote provided in alternate currency/UOM</w:t>
            </w:r>
          </w:p>
        </w:tc>
        <w:tc>
          <w:tcPr>
            <w:tcW w:type="dxa" w:w="3273"/>
            <w:vAlign w:val="center"/>
          </w:tcPr>
          <w:p>
            <w:pPr>
              <w:spacing w:after="20"/>
            </w:pPr>
            <w:r>
              <w:rPr>
                <w:sz w:val="16"/>
              </w:rPr>
              <w:t>Comparison converts on controlled source/date and shows assumptions</w:t>
            </w:r>
          </w:p>
        </w:tc>
      </w:tr>
      <w:tr>
        <w:tc>
          <w:tcPr>
            <w:tcW w:type="dxa" w:w="3273"/>
            <w:vAlign w:val="center"/>
          </w:tcPr>
          <w:p>
            <w:pPr>
              <w:spacing w:after="20"/>
            </w:pPr>
            <w:r>
              <w:rPr>
                <w:sz w:val="16"/>
              </w:rPr>
              <w:t>AC-10</w:t>
            </w:r>
          </w:p>
        </w:tc>
        <w:tc>
          <w:tcPr>
            <w:tcW w:type="dxa" w:w="3273"/>
            <w:vAlign w:val="center"/>
          </w:tcPr>
          <w:p>
            <w:pPr>
              <w:spacing w:after="20"/>
            </w:pPr>
            <w:r>
              <w:rPr>
                <w:sz w:val="16"/>
              </w:rPr>
              <w:t>QA marks sample failed</w:t>
            </w:r>
          </w:p>
        </w:tc>
        <w:tc>
          <w:tcPr>
            <w:tcW w:type="dxa" w:w="3273"/>
            <w:vAlign w:val="center"/>
          </w:tcPr>
          <w:p>
            <w:pPr>
              <w:spacing w:after="20"/>
            </w:pPr>
            <w:r>
              <w:rPr>
                <w:sz w:val="16"/>
              </w:rPr>
              <w:t>Supplier cannot be awarded without a documented authorized exception</w:t>
            </w:r>
          </w:p>
        </w:tc>
      </w:tr>
      <w:tr>
        <w:tc>
          <w:tcPr>
            <w:tcW w:type="dxa" w:w="3273"/>
            <w:vAlign w:val="center"/>
          </w:tcPr>
          <w:p>
            <w:pPr>
              <w:spacing w:after="20"/>
            </w:pPr>
            <w:r>
              <w:rPr>
                <w:sz w:val="16"/>
              </w:rPr>
              <w:t>AC-11</w:t>
            </w:r>
          </w:p>
        </w:tc>
        <w:tc>
          <w:tcPr>
            <w:tcW w:type="dxa" w:w="3273"/>
            <w:vAlign w:val="center"/>
          </w:tcPr>
          <w:p>
            <w:pPr>
              <w:spacing w:after="20"/>
            </w:pPr>
            <w:r>
              <w:rPr>
                <w:sz w:val="16"/>
              </w:rPr>
              <w:t>Marketing returns evaluation</w:t>
            </w:r>
          </w:p>
        </w:tc>
        <w:tc>
          <w:tcPr>
            <w:tcW w:type="dxa" w:w="3273"/>
            <w:vAlign w:val="center"/>
          </w:tcPr>
          <w:p>
            <w:pPr>
              <w:spacing w:after="20"/>
            </w:pPr>
            <w:r>
              <w:rPr>
                <w:sz w:val="16"/>
              </w:rPr>
              <w:t>Finance stage remains unavailable until resubmission and ACK</w:t>
            </w:r>
          </w:p>
        </w:tc>
      </w:tr>
      <w:tr>
        <w:tc>
          <w:tcPr>
            <w:tcW w:type="dxa" w:w="3273"/>
            <w:vAlign w:val="center"/>
          </w:tcPr>
          <w:p>
            <w:pPr>
              <w:spacing w:after="20"/>
            </w:pPr>
            <w:r>
              <w:rPr>
                <w:sz w:val="16"/>
              </w:rPr>
              <w:t>AC-12</w:t>
            </w:r>
          </w:p>
        </w:tc>
        <w:tc>
          <w:tcPr>
            <w:tcW w:type="dxa" w:w="3273"/>
            <w:vAlign w:val="center"/>
          </w:tcPr>
          <w:p>
            <w:pPr>
              <w:spacing w:after="20"/>
            </w:pPr>
            <w:r>
              <w:rPr>
                <w:sz w:val="16"/>
              </w:rPr>
              <w:t>Finance returns on cash/terms issue</w:t>
            </w:r>
          </w:p>
        </w:tc>
        <w:tc>
          <w:tcPr>
            <w:tcW w:type="dxa" w:w="3273"/>
            <w:vAlign w:val="center"/>
          </w:tcPr>
          <w:p>
            <w:pPr>
              <w:spacing w:after="20"/>
            </w:pPr>
            <w:r>
              <w:rPr>
                <w:sz w:val="16"/>
              </w:rPr>
              <w:t>ED approval not available until Finance reapproves</w:t>
            </w:r>
          </w:p>
        </w:tc>
      </w:tr>
      <w:tr>
        <w:tc>
          <w:tcPr>
            <w:tcW w:type="dxa" w:w="3273"/>
            <w:vAlign w:val="center"/>
          </w:tcPr>
          <w:p>
            <w:pPr>
              <w:spacing w:after="20"/>
            </w:pPr>
            <w:r>
              <w:rPr>
                <w:sz w:val="16"/>
              </w:rPr>
              <w:t>AC-13</w:t>
            </w:r>
          </w:p>
        </w:tc>
        <w:tc>
          <w:tcPr>
            <w:tcW w:type="dxa" w:w="3273"/>
            <w:vAlign w:val="center"/>
          </w:tcPr>
          <w:p>
            <w:pPr>
              <w:spacing w:after="20"/>
            </w:pPr>
            <w:r>
              <w:rPr>
                <w:sz w:val="16"/>
              </w:rPr>
              <w:t>ED finally approves valid package</w:t>
            </w:r>
          </w:p>
        </w:tc>
        <w:tc>
          <w:tcPr>
            <w:tcW w:type="dxa" w:w="3273"/>
            <w:vAlign w:val="center"/>
          </w:tcPr>
          <w:p>
            <w:pPr>
              <w:spacing w:after="20"/>
            </w:pPr>
            <w:r>
              <w:rPr>
                <w:sz w:val="16"/>
              </w:rPr>
              <w:t>PO generated with correct locked approved data</w:t>
            </w:r>
          </w:p>
        </w:tc>
      </w:tr>
      <w:tr>
        <w:tc>
          <w:tcPr>
            <w:tcW w:type="dxa" w:w="3273"/>
            <w:vAlign w:val="center"/>
          </w:tcPr>
          <w:p>
            <w:pPr>
              <w:spacing w:after="20"/>
            </w:pPr>
            <w:r>
              <w:rPr>
                <w:sz w:val="16"/>
              </w:rPr>
              <w:t>AC-14</w:t>
            </w:r>
          </w:p>
        </w:tc>
        <w:tc>
          <w:tcPr>
            <w:tcW w:type="dxa" w:w="3273"/>
            <w:vAlign w:val="center"/>
          </w:tcPr>
          <w:p>
            <w:pPr>
              <w:spacing w:after="20"/>
            </w:pPr>
            <w:r>
              <w:rPr>
                <w:sz w:val="16"/>
              </w:rPr>
              <w:t>PO missing a required Incoterms named place</w:t>
            </w:r>
          </w:p>
        </w:tc>
        <w:tc>
          <w:tcPr>
            <w:tcW w:type="dxa" w:w="3273"/>
            <w:vAlign w:val="center"/>
          </w:tcPr>
          <w:p>
            <w:pPr>
              <w:spacing w:after="20"/>
            </w:pPr>
            <w:r>
              <w:rPr>
                <w:sz w:val="16"/>
              </w:rPr>
              <w:t>PO auto-email blocked, exception assigned</w:t>
            </w:r>
          </w:p>
        </w:tc>
      </w:tr>
      <w:tr>
        <w:tc>
          <w:tcPr>
            <w:tcW w:type="dxa" w:w="3273"/>
            <w:vAlign w:val="center"/>
          </w:tcPr>
          <w:p>
            <w:pPr>
              <w:spacing w:after="20"/>
            </w:pPr>
            <w:r>
              <w:rPr>
                <w:sz w:val="16"/>
              </w:rPr>
              <w:t>AC-15</w:t>
            </w:r>
          </w:p>
        </w:tc>
        <w:tc>
          <w:tcPr>
            <w:tcW w:type="dxa" w:w="3273"/>
            <w:vAlign w:val="center"/>
          </w:tcPr>
          <w:p>
            <w:pPr>
              <w:spacing w:after="20"/>
            </w:pPr>
            <w:r>
              <w:rPr>
                <w:sz w:val="16"/>
              </w:rPr>
              <w:t>PO passes validation</w:t>
            </w:r>
          </w:p>
        </w:tc>
        <w:tc>
          <w:tcPr>
            <w:tcW w:type="dxa" w:w="3273"/>
            <w:vAlign w:val="center"/>
          </w:tcPr>
          <w:p>
            <w:pPr>
              <w:spacing w:after="20"/>
            </w:pPr>
            <w:r>
              <w:rPr>
                <w:sz w:val="16"/>
              </w:rPr>
              <w:t>Only selected supplier receives approved PDF and ACK link</w:t>
            </w:r>
          </w:p>
        </w:tc>
      </w:tr>
      <w:tr>
        <w:tc>
          <w:tcPr>
            <w:tcW w:type="dxa" w:w="3273"/>
            <w:vAlign w:val="center"/>
          </w:tcPr>
          <w:p>
            <w:pPr>
              <w:spacing w:after="20"/>
            </w:pPr>
            <w:r>
              <w:rPr>
                <w:sz w:val="16"/>
              </w:rPr>
              <w:t>AC-16</w:t>
            </w:r>
          </w:p>
        </w:tc>
        <w:tc>
          <w:tcPr>
            <w:tcW w:type="dxa" w:w="3273"/>
            <w:vAlign w:val="center"/>
          </w:tcPr>
          <w:p>
            <w:pPr>
              <w:spacing w:after="20"/>
            </w:pPr>
            <w:r>
              <w:rPr>
                <w:sz w:val="16"/>
              </w:rPr>
              <w:t>Supplier disputes price on PO</w:t>
            </w:r>
          </w:p>
        </w:tc>
        <w:tc>
          <w:tcPr>
            <w:tcW w:type="dxa" w:w="3273"/>
            <w:vAlign w:val="center"/>
          </w:tcPr>
          <w:p>
            <w:pPr>
              <w:spacing w:after="20"/>
            </w:pPr>
            <w:r>
              <w:rPr>
                <w:sz w:val="16"/>
              </w:rPr>
              <w:t>Dispute recorded; updated terms require approved revision</w:t>
            </w:r>
          </w:p>
        </w:tc>
      </w:tr>
      <w:tr>
        <w:tc>
          <w:tcPr>
            <w:tcW w:type="dxa" w:w="3273"/>
            <w:vAlign w:val="center"/>
          </w:tcPr>
          <w:p>
            <w:pPr>
              <w:spacing w:after="20"/>
            </w:pPr>
            <w:r>
              <w:rPr>
                <w:sz w:val="16"/>
              </w:rPr>
              <w:t>AC-17</w:t>
            </w:r>
          </w:p>
        </w:tc>
        <w:tc>
          <w:tcPr>
            <w:tcW w:type="dxa" w:w="3273"/>
            <w:vAlign w:val="center"/>
          </w:tcPr>
          <w:p>
            <w:pPr>
              <w:spacing w:after="20"/>
            </w:pPr>
            <w:r>
              <w:rPr>
                <w:sz w:val="16"/>
              </w:rPr>
              <w:t>PI bank details change</w:t>
            </w:r>
          </w:p>
        </w:tc>
        <w:tc>
          <w:tcPr>
            <w:tcW w:type="dxa" w:w="3273"/>
            <w:vAlign w:val="center"/>
          </w:tcPr>
          <w:p>
            <w:pPr>
              <w:spacing w:after="20"/>
            </w:pPr>
            <w:r>
              <w:rPr>
                <w:sz w:val="16"/>
              </w:rPr>
              <w:t>Independent validation task created; processing restricted</w:t>
            </w:r>
          </w:p>
        </w:tc>
      </w:tr>
      <w:tr>
        <w:tc>
          <w:tcPr>
            <w:tcW w:type="dxa" w:w="3273"/>
            <w:vAlign w:val="center"/>
          </w:tcPr>
          <w:p>
            <w:pPr>
              <w:spacing w:after="20"/>
            </w:pPr>
            <w:r>
              <w:rPr>
                <w:sz w:val="16"/>
              </w:rPr>
              <w:t>AC-18</w:t>
            </w:r>
          </w:p>
        </w:tc>
        <w:tc>
          <w:tcPr>
            <w:tcW w:type="dxa" w:w="3273"/>
            <w:vAlign w:val="center"/>
          </w:tcPr>
          <w:p>
            <w:pPr>
              <w:spacing w:after="20"/>
            </w:pPr>
            <w:r>
              <w:rPr>
                <w:sz w:val="16"/>
              </w:rPr>
              <w:t>GRN accepted qty below invoiced qty</w:t>
            </w:r>
          </w:p>
        </w:tc>
        <w:tc>
          <w:tcPr>
            <w:tcW w:type="dxa" w:w="3273"/>
            <w:vAlign w:val="center"/>
          </w:tcPr>
          <w:p>
            <w:pPr>
              <w:spacing w:after="20"/>
            </w:pPr>
            <w:r>
              <w:rPr>
                <w:sz w:val="16"/>
              </w:rPr>
              <w:t>Mismatch flagged and payment limited/held per policy</w:t>
            </w:r>
          </w:p>
        </w:tc>
      </w:tr>
      <w:tr>
        <w:tc>
          <w:tcPr>
            <w:tcW w:type="dxa" w:w="3273"/>
            <w:vAlign w:val="center"/>
          </w:tcPr>
          <w:p>
            <w:pPr>
              <w:spacing w:after="20"/>
            </w:pPr>
            <w:r>
              <w:rPr>
                <w:sz w:val="16"/>
              </w:rPr>
              <w:t>AC-19</w:t>
            </w:r>
          </w:p>
        </w:tc>
        <w:tc>
          <w:tcPr>
            <w:tcW w:type="dxa" w:w="3273"/>
            <w:vAlign w:val="center"/>
          </w:tcPr>
          <w:p>
            <w:pPr>
              <w:spacing w:after="20"/>
            </w:pPr>
            <w:r>
              <w:rPr>
                <w:sz w:val="16"/>
              </w:rPr>
              <w:t>Email provider transiently fails</w:t>
            </w:r>
          </w:p>
        </w:tc>
        <w:tc>
          <w:tcPr>
            <w:tcW w:type="dxa" w:w="3273"/>
            <w:vAlign w:val="center"/>
          </w:tcPr>
          <w:p>
            <w:pPr>
              <w:spacing w:after="20"/>
            </w:pPr>
            <w:r>
              <w:rPr>
                <w:sz w:val="16"/>
              </w:rPr>
              <w:t>Controlled retry without generating a second PO ID</w:t>
            </w:r>
          </w:p>
        </w:tc>
      </w:tr>
      <w:tr>
        <w:tc>
          <w:tcPr>
            <w:tcW w:type="dxa" w:w="3273"/>
            <w:vAlign w:val="center"/>
          </w:tcPr>
          <w:p>
            <w:pPr>
              <w:spacing w:after="20"/>
            </w:pPr>
            <w:r>
              <w:rPr>
                <w:sz w:val="16"/>
              </w:rPr>
              <w:t>AC-20</w:t>
            </w:r>
          </w:p>
        </w:tc>
        <w:tc>
          <w:tcPr>
            <w:tcW w:type="dxa" w:w="3273"/>
            <w:vAlign w:val="center"/>
          </w:tcPr>
          <w:p>
            <w:pPr>
              <w:spacing w:after="20"/>
            </w:pPr>
            <w:r>
              <w:rPr>
                <w:sz w:val="16"/>
              </w:rPr>
              <w:t>Manager reviews dashboard</w:t>
            </w:r>
          </w:p>
        </w:tc>
        <w:tc>
          <w:tcPr>
            <w:tcW w:type="dxa" w:w="3273"/>
            <w:vAlign w:val="center"/>
          </w:tcPr>
          <w:p>
            <w:pPr>
              <w:spacing w:after="20"/>
            </w:pPr>
            <w:r>
              <w:rPr>
                <w:sz w:val="16"/>
              </w:rPr>
              <w:t>Role-permitted live stage, delays and audit trail visible</w:t>
            </w:r>
          </w:p>
        </w:tc>
      </w:tr>
    </w:tbl>
    <w:p>
      <w:pPr>
        <w:spacing w:after="20"/>
      </w:pPr>
    </w:p>
    <w:p/>
    <w:p>
      <w:pPr>
        <w:pStyle w:val="Heading2"/>
      </w:pPr>
      <w:r>
        <w:t>19. Sample screen/navigation map</w:t>
      </w:r>
    </w:p>
    <w:p>
      <w:pPr>
        <w:pStyle w:val="NoSpacing"/>
      </w:pPr>
      <w:r>
        <w:rPr>
          <w:rFonts w:ascii="Consolas" w:hAnsi="Consolas"/>
          <w:sz w:val="16"/>
        </w:rPr>
        <w:t>OIL-PMS</w:t>
        <w:br/>
        <w:t>├── Management Dashboard</w:t>
        <w:br/>
        <w:t>│   ├── Procurement Pipeline</w:t>
        <w:br/>
        <w:t>│   ├── Pending Approvals</w:t>
        <w:br/>
        <w:t>│   ├── Savings &amp; Supplier Performance</w:t>
        <w:br/>
        <w:t>│   └── Exceptions / Escalations</w:t>
        <w:br/>
        <w:t>├── Requisitions</w:t>
        <w:br/>
        <w:t>│   ├── Create / Edit PR</w:t>
        <w:br/>
        <w:t>│   ├── Consolidated Requisition Board</w:t>
        <w:br/>
        <w:t>│   └── Review &amp; Validation</w:t>
        <w:br/>
        <w:t>├── Sourcing / RFQ</w:t>
        <w:br/>
        <w:t>│   ├── RFQ Builder / Supplier Shortlist</w:t>
        <w:br/>
        <w:t>│   ├── Supplier Link &amp; Deadline Administration</w:t>
        <w:br/>
        <w:t>│   ├── Submitted Quotations</w:t>
        <w:br/>
        <w:t>│   ├── Comparative Statement</w:t>
        <w:br/>
        <w:t>│   └── Samples / QA Reports</w:t>
        <w:br/>
        <w:t>├── Negotiation &amp; Awards</w:t>
        <w:br/>
        <w:t>│   ├── Negotiation History</w:t>
        <w:br/>
        <w:t>│   ├── Final Supplier Recommendation</w:t>
        <w:br/>
        <w:t>│   └── Approval Queue (Marketing → Finance → ED)</w:t>
        <w:br/>
        <w:t>├── Purchase Orders</w:t>
        <w:br/>
        <w:t>│   ├── Approved PO PDFs &amp; Dispatch Log</w:t>
        <w:br/>
        <w:t>│   ├── Supplier Acknowledgments</w:t>
        <w:br/>
        <w:t>│   └── Amendments / Disputes</w:t>
        <w:br/>
        <w:t>├── Import &amp; Warehouse</w:t>
        <w:br/>
        <w:t>│   ├── PI / Banking Documents</w:t>
        <w:br/>
        <w:t>│   ├── Shipment Tracking</w:t>
        <w:br/>
        <w:t>│   ├── GRN / Inspection / Claims</w:t>
        <w:br/>
        <w:t>│   └── Invoice &amp; Payment Status</w:t>
        <w:br/>
        <w:t>├── Supplier External Portal (isolated access)</w:t>
        <w:br/>
        <w:t>│   ├── RFQ Details / Quotation Entry / Attachments</w:t>
        <w:br/>
        <w:t>│   ├── Draft / Submit / Confirmation</w:t>
        <w:br/>
        <w:t>│   └── PO Review / Acknowledge / Dispute</w:t>
        <w:br/>
        <w:t>└── Administration</w:t>
        <w:br/>
        <w:t xml:space="preserve">    ├── Users / Roles / Approval Authorities</w:t>
        <w:br/>
        <w:t xml:space="preserve">    ├── Supplier &amp; Material Masters</w:t>
        <w:br/>
        <w:t xml:space="preserve">    ├── Country Working-Day Calendars</w:t>
        <w:br/>
        <w:t xml:space="preserve">    ├── Templates / Notifications / SLAs</w:t>
        <w:br/>
        <w:t xml:space="preserve">    ├── FX / UOM / Incoterms / Port Masters</w:t>
        <w:br/>
        <w:t xml:space="preserve">    └── Audit Logs / Integration Monitoring</w:t>
        <w:br/>
      </w:r>
    </w:p>
    <w:p/>
    <w:p>
      <w:pPr>
        <w:pStyle w:val="Heading2"/>
      </w:pPr>
      <w:r>
        <w:t>20. Required final deliverables for the software team</w:t>
      </w:r>
    </w:p>
    <w:p>
      <w:r>
        <w:t>The developer's functional specification should trace each requirement above into: (a) screens and field definitions, (b) database entities, (c) APIs/integrations, (d) permissions, (e) workflow transition rules, (f) notification templates, (g) exception handling, (h) security requirements, and (i) acceptance test cases. OIL should approve the outstanding policy choices before declaring the system specification final.</w:t>
      </w:r>
    </w:p>
    <w:p>
      <w:r>
        <w:rPr>
          <w:b/>
          <w:i w:val="0"/>
        </w:rPr>
        <w:t>Document end — OIL-PMS-BRD-001 / v1.0 proposed.</w:t>
      </w:r>
    </w:p>
    <w:sectPr w:rsidR="00FC693F" w:rsidRPr="0006063C" w:rsidSect="00034616">
      <w:headerReference w:type="default" r:id="rId9"/>
      <w:footerReference w:type="default" r:id="rId10"/>
      <w:pgSz w:w="12240" w:h="15840"/>
      <w:pgMar w:top="1109"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OIL-PMS  •  Proposed To-Be Process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A8A92"/>
      </w:rPr>
      <w:t>OIL  |  PROCUREMENT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485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23788E"/>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3788E"/>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3788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23788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Comprehensive Procurement Process Manual</dc:title>
  <dc:subject>End-to-end procurement, RFQ, supplier evaluation, approvals, PO, import and payment</dc:subject>
  <dc:creator>Osman Interlinings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