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37DE" w14:textId="77777777" w:rsidR="00F93D4E" w:rsidRDefault="00F93D4E" w:rsidP="009A56DB">
      <w:pPr>
        <w:jc w:val="center"/>
        <w:rPr>
          <w:rFonts w:cstheme="minorHAnsi"/>
          <w:b/>
          <w:bCs/>
          <w:sz w:val="24"/>
          <w:szCs w:val="24"/>
        </w:rPr>
      </w:pPr>
    </w:p>
    <w:p w14:paraId="61862142" w14:textId="77777777" w:rsidR="00F93D4E" w:rsidRDefault="00F93D4E" w:rsidP="009A56DB">
      <w:pPr>
        <w:jc w:val="center"/>
        <w:rPr>
          <w:rFonts w:cstheme="minorHAnsi"/>
          <w:b/>
          <w:bCs/>
          <w:sz w:val="24"/>
          <w:szCs w:val="24"/>
        </w:rPr>
      </w:pPr>
    </w:p>
    <w:p w14:paraId="055A8668" w14:textId="2C7A0E5F" w:rsidR="0015267B" w:rsidRPr="009A56DB" w:rsidRDefault="00B81C87" w:rsidP="009A56DB">
      <w:pPr>
        <w:jc w:val="center"/>
        <w:rPr>
          <w:rFonts w:cstheme="minorHAnsi"/>
          <w:b/>
          <w:bCs/>
          <w:sz w:val="24"/>
          <w:szCs w:val="24"/>
        </w:rPr>
      </w:pPr>
      <w:r w:rsidRPr="00B81C87">
        <w:rPr>
          <w:rFonts w:cstheme="minorHAnsi"/>
          <w:b/>
          <w:bCs/>
          <w:sz w:val="24"/>
          <w:szCs w:val="24"/>
        </w:rPr>
        <w:t>Nexus between domestic violence against women and child malnutrition: findings from demographic and health survey</w:t>
      </w:r>
    </w:p>
    <w:p w14:paraId="2BA91935" w14:textId="2F43CC66" w:rsidR="00630EA0" w:rsidRDefault="00630EA0" w:rsidP="00630EA0">
      <w:pPr>
        <w:rPr>
          <w:rFonts w:cstheme="minorHAnsi"/>
          <w:b/>
          <w:bCs/>
          <w:sz w:val="24"/>
          <w:szCs w:val="24"/>
        </w:rPr>
      </w:pPr>
      <w:r>
        <w:rPr>
          <w:rFonts w:cstheme="minorHAnsi"/>
          <w:b/>
          <w:bCs/>
          <w:sz w:val="24"/>
          <w:szCs w:val="24"/>
        </w:rPr>
        <w:t>Abstract</w:t>
      </w:r>
    </w:p>
    <w:p w14:paraId="023254BB" w14:textId="1189BAF6" w:rsidR="00062228" w:rsidRPr="00062228" w:rsidRDefault="00630EA0" w:rsidP="00062228">
      <w:pPr>
        <w:rPr>
          <w:rFonts w:cstheme="minorHAnsi"/>
          <w:b/>
          <w:bCs/>
          <w:sz w:val="24"/>
          <w:szCs w:val="24"/>
        </w:rPr>
      </w:pPr>
      <w:r>
        <w:rPr>
          <w:rFonts w:cstheme="minorHAnsi"/>
          <w:b/>
          <w:bCs/>
          <w:sz w:val="24"/>
          <w:szCs w:val="24"/>
        </w:rPr>
        <w:t>Background</w:t>
      </w:r>
    </w:p>
    <w:p w14:paraId="4A8D002F" w14:textId="5FE93B03" w:rsidR="00062228" w:rsidRPr="00062228" w:rsidRDefault="00062228" w:rsidP="00062228">
      <w:pPr>
        <w:jc w:val="both"/>
        <w:rPr>
          <w:rFonts w:cstheme="minorHAnsi"/>
          <w:sz w:val="24"/>
          <w:szCs w:val="24"/>
        </w:rPr>
      </w:pPr>
      <w:r w:rsidRPr="00062228">
        <w:rPr>
          <w:rFonts w:cstheme="minorHAnsi"/>
          <w:sz w:val="24"/>
          <w:szCs w:val="24"/>
        </w:rPr>
        <w:t>In Bangladesh, where a substantial number of women experience intimate partner violence (IPV), and child malnutrition is prevalent, this study explores the link between women's lifetime IPV exposure and the nutritional status of their pre-school children, addressing gaps in understanding the long-term consequences of IPV on child nutrition in the region.</w:t>
      </w:r>
    </w:p>
    <w:p w14:paraId="44F4D7F7" w14:textId="3205F639" w:rsidR="00062228" w:rsidRPr="00062228" w:rsidRDefault="00630EA0" w:rsidP="00062228">
      <w:pPr>
        <w:rPr>
          <w:rFonts w:cstheme="minorHAnsi"/>
          <w:b/>
          <w:bCs/>
          <w:sz w:val="24"/>
          <w:szCs w:val="24"/>
        </w:rPr>
      </w:pPr>
      <w:r>
        <w:rPr>
          <w:rFonts w:cstheme="minorHAnsi"/>
          <w:b/>
          <w:bCs/>
          <w:sz w:val="24"/>
          <w:szCs w:val="24"/>
        </w:rPr>
        <w:t>Methods</w:t>
      </w:r>
    </w:p>
    <w:p w14:paraId="1128E876" w14:textId="0A1F4485" w:rsidR="00062228" w:rsidRPr="00062228" w:rsidRDefault="00062228" w:rsidP="00062228">
      <w:pPr>
        <w:jc w:val="both"/>
        <w:rPr>
          <w:rFonts w:cstheme="minorHAnsi"/>
          <w:sz w:val="24"/>
          <w:szCs w:val="24"/>
        </w:rPr>
      </w:pPr>
      <w:r w:rsidRPr="00062228">
        <w:rPr>
          <w:rFonts w:cstheme="minorHAnsi"/>
          <w:sz w:val="24"/>
          <w:szCs w:val="24"/>
        </w:rPr>
        <w:t>This study utilized consolidated data from recent Demographic and Health Surveys (DHS) in low- and middle-income countries, focusing on ever-married women aged 15 to 49 and their children under five. Employing a two-stage stratified cluster sampling approach, the research assessed women's exposure to intimate partner violence (IPV) and its association with child nutritional outcomes using descriptive statistics, Chi-Square tests, and a multiple logistic regression model, ensuring comprehensive exploration of socio-economic determinants in the context of IPV and child.</w:t>
      </w:r>
    </w:p>
    <w:p w14:paraId="271CD3E6" w14:textId="66518AB2" w:rsidR="000B7762" w:rsidRPr="000B7762" w:rsidRDefault="00630EA0" w:rsidP="000B7762">
      <w:pPr>
        <w:rPr>
          <w:rFonts w:cstheme="minorHAnsi"/>
          <w:b/>
          <w:bCs/>
          <w:sz w:val="24"/>
          <w:szCs w:val="24"/>
        </w:rPr>
      </w:pPr>
      <w:r>
        <w:rPr>
          <w:rFonts w:cstheme="minorHAnsi"/>
          <w:b/>
          <w:bCs/>
          <w:sz w:val="24"/>
          <w:szCs w:val="24"/>
        </w:rPr>
        <w:t>Findings</w:t>
      </w:r>
    </w:p>
    <w:p w14:paraId="110B25AA" w14:textId="17F9D448" w:rsidR="00062228" w:rsidRPr="000B7762" w:rsidRDefault="000B7762" w:rsidP="000B7762">
      <w:pPr>
        <w:jc w:val="both"/>
        <w:rPr>
          <w:rFonts w:cstheme="minorHAnsi"/>
          <w:sz w:val="24"/>
          <w:szCs w:val="24"/>
        </w:rPr>
      </w:pPr>
      <w:r w:rsidRPr="000B7762">
        <w:rPr>
          <w:rFonts w:cstheme="minorHAnsi"/>
          <w:sz w:val="24"/>
          <w:szCs w:val="24"/>
        </w:rPr>
        <w:t>The study's descriptive statistics revealed a noteworthy malnutrition rate of 58.6% among one-year-old children, decreasing with age. In univariate analysis, significant associations were found with child's age (p = 0.0156), maternal education (p = 0.0022), wealth index (p = 0.01), mode of delivery (p = 0.0397), and recent fever (p = 0.0104). However, the final logistic regression highlighted the decisive influence of child age, with two-year-olds showing a substantially higher likelihood of malnutrition (OR = 3.79, 95% CI: 1.50-9.60, p &lt; 0.01), while other factors like child sex, maternal education, wealth index, mode of delivery, and recent fever lacked statistical significance in predicting child malnutrition in this context.</w:t>
      </w:r>
    </w:p>
    <w:p w14:paraId="286AF4DC" w14:textId="01D95AB8" w:rsidR="0015267B" w:rsidRPr="0015267B" w:rsidRDefault="00630EA0" w:rsidP="0015267B">
      <w:pPr>
        <w:rPr>
          <w:rFonts w:cstheme="minorHAnsi"/>
          <w:b/>
          <w:bCs/>
          <w:sz w:val="24"/>
          <w:szCs w:val="24"/>
        </w:rPr>
      </w:pPr>
      <w:r>
        <w:rPr>
          <w:rFonts w:cstheme="minorHAnsi"/>
          <w:b/>
          <w:bCs/>
          <w:sz w:val="24"/>
          <w:szCs w:val="24"/>
        </w:rPr>
        <w:t>Conclusion</w:t>
      </w:r>
    </w:p>
    <w:p w14:paraId="3257FF09" w14:textId="2A405A6A" w:rsidR="00630EA0" w:rsidRDefault="0015267B" w:rsidP="0015267B">
      <w:pPr>
        <w:jc w:val="both"/>
        <w:rPr>
          <w:rFonts w:cstheme="minorHAnsi"/>
          <w:sz w:val="24"/>
          <w:szCs w:val="24"/>
        </w:rPr>
      </w:pPr>
      <w:r w:rsidRPr="0015267B">
        <w:rPr>
          <w:rFonts w:cstheme="minorHAnsi"/>
          <w:sz w:val="24"/>
          <w:szCs w:val="24"/>
        </w:rPr>
        <w:t>In conclusion, this study underscores the multifaceted nature of child malnutrition in Bangladesh, emphasizing the critical role of age, maternal education, and wealth status. The findings advocate for targeted interventions and nuanced approaches that consider the specific dynamics of domestic violence, socio-economic factors, and child nutrition in order to enhance the effectiveness of interventions and improve child health outcomes.</w:t>
      </w:r>
    </w:p>
    <w:p w14:paraId="5CEE46FA" w14:textId="73C07341" w:rsidR="009A56DB" w:rsidRPr="009A56DB" w:rsidRDefault="009A56DB" w:rsidP="0015267B">
      <w:pPr>
        <w:jc w:val="both"/>
        <w:rPr>
          <w:rFonts w:cstheme="minorHAnsi"/>
          <w:b/>
          <w:bCs/>
          <w:sz w:val="24"/>
          <w:szCs w:val="24"/>
        </w:rPr>
      </w:pPr>
      <w:r w:rsidRPr="009A56DB">
        <w:rPr>
          <w:rFonts w:cstheme="minorHAnsi"/>
          <w:b/>
          <w:bCs/>
          <w:sz w:val="24"/>
          <w:szCs w:val="24"/>
        </w:rPr>
        <w:t>Keywords</w:t>
      </w:r>
      <w:r>
        <w:rPr>
          <w:rFonts w:cstheme="minorHAnsi"/>
          <w:b/>
          <w:bCs/>
          <w:sz w:val="24"/>
          <w:szCs w:val="24"/>
        </w:rPr>
        <w:t xml:space="preserve"> </w:t>
      </w:r>
      <w:r w:rsidRPr="009A56DB">
        <w:rPr>
          <w:rFonts w:cstheme="minorHAnsi"/>
          <w:sz w:val="24"/>
          <w:szCs w:val="24"/>
        </w:rPr>
        <w:t>IPV</w:t>
      </w:r>
      <w:r>
        <w:rPr>
          <w:rFonts w:cstheme="minorHAnsi"/>
          <w:sz w:val="24"/>
          <w:szCs w:val="24"/>
        </w:rPr>
        <w:t>, Women, C</w:t>
      </w:r>
      <w:r w:rsidRPr="000B7762">
        <w:rPr>
          <w:rFonts w:cstheme="minorHAnsi"/>
          <w:sz w:val="24"/>
          <w:szCs w:val="24"/>
        </w:rPr>
        <w:t xml:space="preserve">hild </w:t>
      </w:r>
      <w:r>
        <w:rPr>
          <w:rFonts w:cstheme="minorHAnsi"/>
          <w:sz w:val="24"/>
          <w:szCs w:val="24"/>
        </w:rPr>
        <w:t>M</w:t>
      </w:r>
      <w:r w:rsidRPr="000B7762">
        <w:rPr>
          <w:rFonts w:cstheme="minorHAnsi"/>
          <w:sz w:val="24"/>
          <w:szCs w:val="24"/>
        </w:rPr>
        <w:t>alnutrition</w:t>
      </w:r>
      <w:r>
        <w:rPr>
          <w:rFonts w:cstheme="minorHAnsi"/>
          <w:sz w:val="24"/>
          <w:szCs w:val="24"/>
        </w:rPr>
        <w:t>, BDHS</w:t>
      </w:r>
    </w:p>
    <w:p w14:paraId="167857EF" w14:textId="77777777" w:rsidR="009A56DB" w:rsidRDefault="009A56DB">
      <w:pPr>
        <w:rPr>
          <w:rFonts w:cstheme="minorHAnsi"/>
          <w:b/>
          <w:bCs/>
          <w:sz w:val="24"/>
          <w:szCs w:val="24"/>
        </w:rPr>
      </w:pPr>
    </w:p>
    <w:p w14:paraId="0380AEEF" w14:textId="77777777" w:rsidR="00BF3665" w:rsidRDefault="00BF3665">
      <w:pPr>
        <w:rPr>
          <w:rFonts w:cstheme="minorHAnsi"/>
          <w:b/>
          <w:bCs/>
          <w:sz w:val="24"/>
          <w:szCs w:val="24"/>
        </w:rPr>
      </w:pPr>
    </w:p>
    <w:p w14:paraId="591FFB1D" w14:textId="71DB4205" w:rsidR="003A137B" w:rsidRPr="00D6781E" w:rsidRDefault="003A137B">
      <w:pPr>
        <w:rPr>
          <w:rFonts w:cstheme="minorHAnsi"/>
          <w:b/>
          <w:bCs/>
          <w:sz w:val="24"/>
          <w:szCs w:val="24"/>
        </w:rPr>
      </w:pPr>
      <w:r w:rsidRPr="00D6781E">
        <w:rPr>
          <w:rFonts w:cstheme="minorHAnsi"/>
          <w:b/>
          <w:bCs/>
          <w:sz w:val="24"/>
          <w:szCs w:val="24"/>
        </w:rPr>
        <w:t>Introduction</w:t>
      </w:r>
    </w:p>
    <w:p w14:paraId="64C6AEE4" w14:textId="1BD397A8" w:rsidR="003A137B" w:rsidRPr="00D6781E" w:rsidRDefault="003A137B" w:rsidP="003A137B">
      <w:pPr>
        <w:spacing w:line="360" w:lineRule="auto"/>
        <w:jc w:val="both"/>
        <w:rPr>
          <w:rFonts w:cstheme="minorHAnsi"/>
          <w:sz w:val="24"/>
          <w:szCs w:val="24"/>
        </w:rPr>
      </w:pPr>
      <w:r w:rsidRPr="00D6781E">
        <w:rPr>
          <w:rFonts w:cstheme="minorHAnsi"/>
          <w:sz w:val="24"/>
          <w:szCs w:val="24"/>
        </w:rPr>
        <w:t>Domestic violence, particularly violence against women by their intimate partners, constitutes a severe violation of human rights and a pressing public health issue. It manifests as a complex pattern of physical, sexual, psychological, and emotional abuse, often accompanied by controlling behavior</w:t>
      </w:r>
      <w:r w:rsidR="00233AAB" w:rsidRPr="00D6781E">
        <w:rPr>
          <w:rFonts w:cstheme="minorHAnsi"/>
          <w:sz w:val="24"/>
          <w:szCs w:val="24"/>
          <w:vertAlign w:val="superscript"/>
        </w:rPr>
        <w:t>1,</w:t>
      </w:r>
      <w:r w:rsidR="002F1562" w:rsidRPr="00D6781E">
        <w:rPr>
          <w:rFonts w:cstheme="minorHAnsi"/>
          <w:sz w:val="24"/>
          <w:szCs w:val="24"/>
          <w:vertAlign w:val="superscript"/>
        </w:rPr>
        <w:t>2</w:t>
      </w:r>
      <w:r w:rsidRPr="00D6781E">
        <w:rPr>
          <w:rFonts w:cstheme="minorHAnsi"/>
          <w:sz w:val="24"/>
          <w:szCs w:val="24"/>
        </w:rPr>
        <w:t>. Intimate partner violence (IPV) can impact women of any nationality, irrespective of their level of education, income, age, or ethnicity</w:t>
      </w:r>
      <w:r w:rsidR="002F1562" w:rsidRPr="00D6781E">
        <w:rPr>
          <w:rFonts w:cstheme="minorHAnsi"/>
          <w:sz w:val="24"/>
          <w:szCs w:val="24"/>
          <w:vertAlign w:val="superscript"/>
        </w:rPr>
        <w:t>2,3</w:t>
      </w:r>
      <w:r w:rsidRPr="00D6781E">
        <w:rPr>
          <w:rFonts w:cstheme="minorHAnsi"/>
          <w:sz w:val="24"/>
          <w:szCs w:val="24"/>
        </w:rPr>
        <w:t>. The World Health Organization's (WHO) multi-country study on women's health and domestic violence revealed that 15–71% of ever-partnered women had experienced lifetime physical or sexual violence, or both</w:t>
      </w:r>
      <w:r w:rsidR="00001A3E" w:rsidRPr="00D6781E">
        <w:rPr>
          <w:rFonts w:cstheme="minorHAnsi"/>
          <w:sz w:val="24"/>
          <w:szCs w:val="24"/>
          <w:vertAlign w:val="superscript"/>
        </w:rPr>
        <w:t>4</w:t>
      </w:r>
      <w:r w:rsidRPr="00D6781E">
        <w:rPr>
          <w:rFonts w:cstheme="minorHAnsi"/>
          <w:sz w:val="24"/>
          <w:szCs w:val="24"/>
        </w:rPr>
        <w:t xml:space="preserve"> . IPV is recognized as a leading cause of mortality and morbidity among women of reproductive age</w:t>
      </w:r>
      <w:r w:rsidR="00257F73" w:rsidRPr="00D6781E">
        <w:rPr>
          <w:rFonts w:cstheme="minorHAnsi"/>
          <w:sz w:val="24"/>
          <w:szCs w:val="24"/>
          <w:vertAlign w:val="superscript"/>
        </w:rPr>
        <w:t>5</w:t>
      </w:r>
      <w:r w:rsidRPr="00D6781E">
        <w:rPr>
          <w:rFonts w:cstheme="minorHAnsi"/>
          <w:sz w:val="24"/>
          <w:szCs w:val="24"/>
        </w:rPr>
        <w:t>. Indeed, numerous studies have documented a consistent association between IPV and a wide range of physical and mental health problems, including injuries, gastrointestinal and gynecological disorders, depression, post-traumatic stress disorders, and suicidality</w:t>
      </w:r>
      <w:r w:rsidR="00EA6454" w:rsidRPr="00D6781E">
        <w:rPr>
          <w:rFonts w:cstheme="minorHAnsi"/>
          <w:sz w:val="24"/>
          <w:szCs w:val="24"/>
          <w:vertAlign w:val="superscript"/>
        </w:rPr>
        <w:t>6-9</w:t>
      </w:r>
      <w:r w:rsidRPr="00D6781E">
        <w:rPr>
          <w:rFonts w:cstheme="minorHAnsi"/>
          <w:sz w:val="24"/>
          <w:szCs w:val="24"/>
        </w:rPr>
        <w:t>. Additionally, research has shown that the adverse consequences of IPV on women's mental and physical health may persist even after the actual acts of violence have ceased</w:t>
      </w:r>
      <w:r w:rsidR="00EA6454" w:rsidRPr="00D6781E">
        <w:rPr>
          <w:rFonts w:cstheme="minorHAnsi"/>
          <w:sz w:val="24"/>
          <w:szCs w:val="24"/>
          <w:vertAlign w:val="superscript"/>
        </w:rPr>
        <w:t>6,9</w:t>
      </w:r>
      <w:r w:rsidR="00EA6454" w:rsidRPr="00D6781E">
        <w:rPr>
          <w:rFonts w:cstheme="minorHAnsi"/>
          <w:sz w:val="24"/>
          <w:szCs w:val="24"/>
        </w:rPr>
        <w:t>.</w:t>
      </w:r>
    </w:p>
    <w:p w14:paraId="1783B592" w14:textId="1815A5B9" w:rsidR="003A137B" w:rsidRPr="00D6781E" w:rsidRDefault="003A137B" w:rsidP="003A137B">
      <w:pPr>
        <w:spacing w:line="360" w:lineRule="auto"/>
        <w:jc w:val="both"/>
        <w:rPr>
          <w:rFonts w:cstheme="minorHAnsi"/>
          <w:sz w:val="24"/>
          <w:szCs w:val="24"/>
        </w:rPr>
      </w:pPr>
      <w:r w:rsidRPr="00D6781E">
        <w:rPr>
          <w:rFonts w:cstheme="minorHAnsi"/>
          <w:sz w:val="24"/>
          <w:szCs w:val="24"/>
        </w:rPr>
        <w:t>The negative repercussions of IPV against women can extend to affect the health of their children through both direct and indirect pathways. IPV can indirectly impact a child's health by impairing maternal caretaking abilities. The physical and psychological problems induced by IPV can render abused mothers less physically and emotionally capable of providing for their children's basic needs</w:t>
      </w:r>
      <w:r w:rsidR="007C47C7" w:rsidRPr="00D6781E">
        <w:rPr>
          <w:rFonts w:cstheme="minorHAnsi"/>
          <w:sz w:val="24"/>
          <w:szCs w:val="24"/>
          <w:vertAlign w:val="superscript"/>
        </w:rPr>
        <w:t>10-12</w:t>
      </w:r>
      <w:r w:rsidR="007C47C7" w:rsidRPr="00D6781E">
        <w:rPr>
          <w:rFonts w:cstheme="minorHAnsi"/>
          <w:sz w:val="24"/>
          <w:szCs w:val="24"/>
        </w:rPr>
        <w:t>.</w:t>
      </w:r>
      <w:r w:rsidRPr="00D6781E">
        <w:rPr>
          <w:rFonts w:cstheme="minorHAnsi"/>
          <w:sz w:val="24"/>
          <w:szCs w:val="24"/>
        </w:rPr>
        <w:t xml:space="preserve"> Furthermore, IPV can lead to unintended pregnancies</w:t>
      </w:r>
      <w:r w:rsidR="0088159C" w:rsidRPr="00D6781E">
        <w:rPr>
          <w:rFonts w:cstheme="minorHAnsi"/>
          <w:sz w:val="24"/>
          <w:szCs w:val="24"/>
          <w:vertAlign w:val="superscript"/>
        </w:rPr>
        <w:t>13</w:t>
      </w:r>
      <w:r w:rsidRPr="00D6781E">
        <w:rPr>
          <w:rFonts w:cstheme="minorHAnsi"/>
          <w:sz w:val="24"/>
          <w:szCs w:val="24"/>
        </w:rPr>
        <w:t>, which can also influence maternal caregiving behavior</w:t>
      </w:r>
      <w:r w:rsidR="00CB31F6" w:rsidRPr="00D6781E">
        <w:rPr>
          <w:rFonts w:cstheme="minorHAnsi"/>
          <w:sz w:val="24"/>
          <w:szCs w:val="24"/>
          <w:vertAlign w:val="superscript"/>
        </w:rPr>
        <w:t>14</w:t>
      </w:r>
      <w:r w:rsidRPr="00D6781E">
        <w:rPr>
          <w:rFonts w:cstheme="minorHAnsi"/>
          <w:sz w:val="24"/>
          <w:szCs w:val="24"/>
        </w:rPr>
        <w:t>. In a more direct pathway, witnessing violence between parents can increase children's psychological stress, which has been shown to negatively impact their health</w:t>
      </w:r>
      <w:r w:rsidR="00CB31F6" w:rsidRPr="00D6781E">
        <w:rPr>
          <w:rFonts w:cstheme="minorHAnsi"/>
          <w:sz w:val="24"/>
          <w:szCs w:val="24"/>
          <w:vertAlign w:val="superscript"/>
        </w:rPr>
        <w:t>15</w:t>
      </w:r>
      <w:r w:rsidRPr="00D6781E">
        <w:rPr>
          <w:rFonts w:cstheme="minorHAnsi"/>
          <w:sz w:val="24"/>
          <w:szCs w:val="24"/>
        </w:rPr>
        <w:t>. Moreover, IPV against women is a risk factor for child abuse and maltreatment, which has also been demonstrated to have detrimental effects on children's physical and mental health</w:t>
      </w:r>
      <w:r w:rsidR="00587321" w:rsidRPr="00D6781E">
        <w:rPr>
          <w:rFonts w:cstheme="minorHAnsi"/>
          <w:sz w:val="24"/>
          <w:szCs w:val="24"/>
          <w:vertAlign w:val="superscript"/>
        </w:rPr>
        <w:t>5,16-18</w:t>
      </w:r>
      <w:r w:rsidRPr="00D6781E">
        <w:rPr>
          <w:rFonts w:cstheme="minorHAnsi"/>
          <w:sz w:val="24"/>
          <w:szCs w:val="24"/>
        </w:rPr>
        <w:t>.</w:t>
      </w:r>
    </w:p>
    <w:p w14:paraId="57AF6F3E" w14:textId="2EC96770" w:rsidR="003A137B" w:rsidRPr="00D6781E" w:rsidRDefault="003A137B" w:rsidP="003A137B">
      <w:pPr>
        <w:spacing w:line="360" w:lineRule="auto"/>
        <w:jc w:val="both"/>
        <w:rPr>
          <w:rFonts w:cstheme="minorHAnsi"/>
          <w:sz w:val="24"/>
          <w:szCs w:val="24"/>
        </w:rPr>
      </w:pPr>
      <w:r w:rsidRPr="00D6781E">
        <w:rPr>
          <w:rFonts w:cstheme="minorHAnsi"/>
          <w:sz w:val="24"/>
          <w:szCs w:val="24"/>
        </w:rPr>
        <w:t xml:space="preserve">Negative consequences of IPV on children's overall health have been previously reported. A national sample of data from five developing countries indicated an association between IPV and </w:t>
      </w:r>
      <w:r w:rsidRPr="00D6781E">
        <w:rPr>
          <w:rFonts w:cstheme="minorHAnsi"/>
          <w:sz w:val="24"/>
          <w:szCs w:val="24"/>
        </w:rPr>
        <w:lastRenderedPageBreak/>
        <w:t>child mortality in Kenya, Honduras, and Malawi</w:t>
      </w:r>
      <w:r w:rsidR="00376219" w:rsidRPr="00D6781E">
        <w:rPr>
          <w:rFonts w:cstheme="minorHAnsi"/>
          <w:sz w:val="24"/>
          <w:szCs w:val="24"/>
          <w:vertAlign w:val="superscript"/>
        </w:rPr>
        <w:t>19</w:t>
      </w:r>
      <w:r w:rsidR="00376219" w:rsidRPr="00D6781E">
        <w:rPr>
          <w:rFonts w:cstheme="minorHAnsi"/>
          <w:sz w:val="24"/>
          <w:szCs w:val="24"/>
        </w:rPr>
        <w:t>.</w:t>
      </w:r>
      <w:r w:rsidRPr="00D6781E">
        <w:rPr>
          <w:rFonts w:cstheme="minorHAnsi"/>
          <w:sz w:val="24"/>
          <w:szCs w:val="24"/>
        </w:rPr>
        <w:t xml:space="preserve"> These findings align with previous studies in Bangladesh</w:t>
      </w:r>
      <w:r w:rsidR="00935C6C" w:rsidRPr="00D6781E">
        <w:rPr>
          <w:rFonts w:cstheme="minorHAnsi"/>
          <w:sz w:val="24"/>
          <w:szCs w:val="24"/>
          <w:vertAlign w:val="superscript"/>
        </w:rPr>
        <w:t>20</w:t>
      </w:r>
      <w:r w:rsidR="00935C6C" w:rsidRPr="00D6781E">
        <w:rPr>
          <w:rFonts w:cstheme="minorHAnsi"/>
          <w:sz w:val="24"/>
          <w:szCs w:val="24"/>
        </w:rPr>
        <w:t>,</w:t>
      </w:r>
      <w:r w:rsidRPr="00D6781E">
        <w:rPr>
          <w:rFonts w:cstheme="minorHAnsi"/>
          <w:sz w:val="24"/>
          <w:szCs w:val="24"/>
        </w:rPr>
        <w:t xml:space="preserve"> India</w:t>
      </w:r>
      <w:r w:rsidR="00935C6C" w:rsidRPr="00D6781E">
        <w:rPr>
          <w:rFonts w:cstheme="minorHAnsi"/>
          <w:sz w:val="24"/>
          <w:szCs w:val="24"/>
          <w:vertAlign w:val="superscript"/>
        </w:rPr>
        <w:t>21</w:t>
      </w:r>
      <w:r w:rsidR="00935C6C" w:rsidRPr="00D6781E">
        <w:rPr>
          <w:rFonts w:cstheme="minorHAnsi"/>
          <w:sz w:val="24"/>
          <w:szCs w:val="24"/>
        </w:rPr>
        <w:t>,</w:t>
      </w:r>
      <w:r w:rsidRPr="00D6781E">
        <w:rPr>
          <w:rFonts w:cstheme="minorHAnsi"/>
          <w:sz w:val="24"/>
          <w:szCs w:val="24"/>
        </w:rPr>
        <w:t xml:space="preserve"> and Nicaragua</w:t>
      </w:r>
      <w:r w:rsidR="002A4750" w:rsidRPr="00D6781E">
        <w:rPr>
          <w:rFonts w:cstheme="minorHAnsi"/>
          <w:sz w:val="24"/>
          <w:szCs w:val="24"/>
          <w:vertAlign w:val="superscript"/>
        </w:rPr>
        <w:t>22</w:t>
      </w:r>
      <w:r w:rsidRPr="00D6781E">
        <w:rPr>
          <w:rFonts w:cstheme="minorHAnsi"/>
          <w:sz w:val="24"/>
          <w:szCs w:val="24"/>
        </w:rPr>
        <w:t xml:space="preserve">. Higher odds of diarrhoea, respiratory tract infections, and acute infant illnesses have been observed among the children of mothers exposed to IPV </w:t>
      </w:r>
      <w:r w:rsidR="0031051F" w:rsidRPr="00D6781E">
        <w:rPr>
          <w:rFonts w:cstheme="minorHAnsi"/>
          <w:sz w:val="24"/>
          <w:szCs w:val="24"/>
        </w:rPr>
        <w:t>in</w:t>
      </w:r>
      <w:r w:rsidRPr="00D6781E">
        <w:rPr>
          <w:rFonts w:cstheme="minorHAnsi"/>
          <w:sz w:val="24"/>
          <w:szCs w:val="24"/>
        </w:rPr>
        <w:t xml:space="preserve"> Uganda</w:t>
      </w:r>
      <w:r w:rsidR="00706705" w:rsidRPr="00D6781E">
        <w:rPr>
          <w:rFonts w:cstheme="minorHAnsi"/>
          <w:sz w:val="24"/>
          <w:szCs w:val="24"/>
          <w:vertAlign w:val="superscript"/>
        </w:rPr>
        <w:t>23</w:t>
      </w:r>
      <w:r w:rsidRPr="00D6781E">
        <w:rPr>
          <w:rFonts w:cstheme="minorHAnsi"/>
          <w:sz w:val="24"/>
          <w:szCs w:val="24"/>
        </w:rPr>
        <w:t>.</w:t>
      </w:r>
    </w:p>
    <w:p w14:paraId="6D429905" w14:textId="55941D29" w:rsidR="003A137B" w:rsidRPr="00D6781E" w:rsidRDefault="003A137B" w:rsidP="003A137B">
      <w:pPr>
        <w:spacing w:line="360" w:lineRule="auto"/>
        <w:jc w:val="both"/>
        <w:rPr>
          <w:rFonts w:cstheme="minorHAnsi"/>
          <w:sz w:val="24"/>
          <w:szCs w:val="24"/>
        </w:rPr>
      </w:pPr>
      <w:r w:rsidRPr="00D6781E">
        <w:rPr>
          <w:rFonts w:cstheme="minorHAnsi"/>
          <w:sz w:val="24"/>
          <w:szCs w:val="24"/>
        </w:rPr>
        <w:t>Women's exposure to IPV has been demonstrated to reduce birthweight</w:t>
      </w:r>
      <w:r w:rsidR="00DD1BEE" w:rsidRPr="00D6781E">
        <w:rPr>
          <w:rFonts w:cstheme="minorHAnsi"/>
          <w:sz w:val="24"/>
          <w:szCs w:val="24"/>
          <w:vertAlign w:val="superscript"/>
        </w:rPr>
        <w:t>24-</w:t>
      </w:r>
      <w:r w:rsidR="0031051F" w:rsidRPr="00D6781E">
        <w:rPr>
          <w:rFonts w:cstheme="minorHAnsi"/>
          <w:sz w:val="24"/>
          <w:szCs w:val="24"/>
          <w:vertAlign w:val="superscript"/>
        </w:rPr>
        <w:t>25</w:t>
      </w:r>
      <w:r w:rsidRPr="00D6781E">
        <w:rPr>
          <w:rFonts w:cstheme="minorHAnsi"/>
          <w:sz w:val="24"/>
          <w:szCs w:val="24"/>
        </w:rPr>
        <w:t>. However, research exploring the consequences of IPV against women on their children's nutritional status later in life is still limited, with conflicting results in some cases. Studies using nationally representative samples have shown an association between lifetime exposure to physical and/or sexual IPV and child stunting in children under 5 years of age in Kenya but not in Egypt, Honduras, Malawi, and Rwanda</w:t>
      </w:r>
      <w:r w:rsidR="001E4C02" w:rsidRPr="00D6781E">
        <w:rPr>
          <w:rFonts w:cstheme="minorHAnsi"/>
          <w:sz w:val="24"/>
          <w:szCs w:val="24"/>
          <w:vertAlign w:val="superscript"/>
        </w:rPr>
        <w:t>19</w:t>
      </w:r>
      <w:r w:rsidR="001E4C02" w:rsidRPr="00D6781E">
        <w:rPr>
          <w:rFonts w:cstheme="minorHAnsi"/>
          <w:sz w:val="24"/>
          <w:szCs w:val="24"/>
        </w:rPr>
        <w:t>.</w:t>
      </w:r>
      <w:r w:rsidRPr="00D6781E">
        <w:rPr>
          <w:rFonts w:cstheme="minorHAnsi"/>
          <w:sz w:val="24"/>
          <w:szCs w:val="24"/>
        </w:rPr>
        <w:t xml:space="preserve"> In India, maternal exposure to multiple incidents of physical family violence in previous years was associated with malnutrition, including stunting, wasting, and underweight, among their 12–35-month-old children</w:t>
      </w:r>
      <w:r w:rsidR="001E4C02" w:rsidRPr="00D6781E">
        <w:rPr>
          <w:rFonts w:cstheme="minorHAnsi"/>
          <w:sz w:val="24"/>
          <w:szCs w:val="24"/>
          <w:vertAlign w:val="superscript"/>
        </w:rPr>
        <w:t>21</w:t>
      </w:r>
      <w:r w:rsidRPr="00D6781E">
        <w:rPr>
          <w:rFonts w:cstheme="minorHAnsi"/>
          <w:sz w:val="24"/>
          <w:szCs w:val="24"/>
        </w:rPr>
        <w:t>. In a hospital-based case-control study in Brazil, higher odds of severe acute malnutrition were observed among the 1–24-month-old children of mothers reporting severe physical partner violence in previous years</w:t>
      </w:r>
      <w:r w:rsidR="00780465" w:rsidRPr="00D6781E">
        <w:rPr>
          <w:rFonts w:cstheme="minorHAnsi"/>
          <w:sz w:val="24"/>
          <w:szCs w:val="24"/>
          <w:vertAlign w:val="superscript"/>
        </w:rPr>
        <w:t>27</w:t>
      </w:r>
      <w:r w:rsidRPr="00D6781E">
        <w:rPr>
          <w:rFonts w:cstheme="minorHAnsi"/>
          <w:sz w:val="24"/>
          <w:szCs w:val="24"/>
        </w:rPr>
        <w:t>. A cohort study in rural Bangladesh also demonstrated an association between maternal exposure to any form of lifetime IPV, whether physical, emotional, or sexual, and early childhood growth impairment</w:t>
      </w:r>
      <w:r w:rsidR="00780465" w:rsidRPr="00D6781E">
        <w:rPr>
          <w:rFonts w:cstheme="minorHAnsi"/>
          <w:sz w:val="24"/>
          <w:szCs w:val="24"/>
          <w:vertAlign w:val="superscript"/>
        </w:rPr>
        <w:t>26</w:t>
      </w:r>
      <w:r w:rsidRPr="00D6781E">
        <w:rPr>
          <w:rFonts w:cstheme="minorHAnsi"/>
          <w:sz w:val="24"/>
          <w:szCs w:val="24"/>
        </w:rPr>
        <w:t>.</w:t>
      </w:r>
    </w:p>
    <w:p w14:paraId="123C1E70" w14:textId="08C2575C" w:rsidR="003A137B" w:rsidRPr="00D6781E" w:rsidRDefault="003A137B" w:rsidP="003A137B">
      <w:pPr>
        <w:spacing w:line="360" w:lineRule="auto"/>
        <w:jc w:val="both"/>
        <w:rPr>
          <w:rFonts w:cstheme="minorHAnsi"/>
          <w:sz w:val="24"/>
          <w:szCs w:val="24"/>
        </w:rPr>
      </w:pPr>
      <w:r w:rsidRPr="00D6781E">
        <w:rPr>
          <w:rFonts w:cstheme="minorHAnsi"/>
          <w:sz w:val="24"/>
          <w:szCs w:val="24"/>
        </w:rPr>
        <w:t>Child malnutrition is highly prevalent in South Asia</w:t>
      </w:r>
      <w:r w:rsidR="00496AA0" w:rsidRPr="00D6781E">
        <w:rPr>
          <w:rFonts w:cstheme="minorHAnsi"/>
          <w:sz w:val="24"/>
          <w:szCs w:val="24"/>
          <w:vertAlign w:val="superscript"/>
        </w:rPr>
        <w:t>28</w:t>
      </w:r>
      <w:r w:rsidRPr="00D6781E">
        <w:rPr>
          <w:rFonts w:cstheme="minorHAnsi"/>
          <w:sz w:val="24"/>
          <w:szCs w:val="24"/>
        </w:rPr>
        <w:t>. While several risk factors for child malnutrition in this region, including food insecurity and maternal malnutrition, have been identified</w:t>
      </w:r>
      <w:r w:rsidR="00496AA0" w:rsidRPr="00D6781E">
        <w:rPr>
          <w:rFonts w:cstheme="minorHAnsi"/>
          <w:sz w:val="24"/>
          <w:szCs w:val="24"/>
          <w:vertAlign w:val="superscript"/>
        </w:rPr>
        <w:t>28</w:t>
      </w:r>
      <w:r w:rsidRPr="00D6781E">
        <w:rPr>
          <w:rFonts w:cstheme="minorHAnsi"/>
          <w:sz w:val="24"/>
          <w:szCs w:val="24"/>
        </w:rPr>
        <w:t>, evidence from India and select geographical areas of Bangladesh suggests that IPV may also significantly contribute. Confirming the association between different forms of IPV, including physical and sexual violence, and child malnutrition in large nationally representative studies is crucial. Furthermore, considering the long-term negative consequences of IPV for survivor women and exposed children, it is essential to study women's lifetime exposure to IPV in these evaluations</w:t>
      </w:r>
      <w:r w:rsidR="00F437B4" w:rsidRPr="00D6781E">
        <w:rPr>
          <w:rFonts w:cstheme="minorHAnsi"/>
          <w:sz w:val="24"/>
          <w:szCs w:val="24"/>
          <w:vertAlign w:val="superscript"/>
        </w:rPr>
        <w:t>6</w:t>
      </w:r>
      <w:r w:rsidRPr="00D6781E">
        <w:rPr>
          <w:rFonts w:cstheme="minorHAnsi"/>
          <w:sz w:val="24"/>
          <w:szCs w:val="24"/>
        </w:rPr>
        <w:t>.</w:t>
      </w:r>
    </w:p>
    <w:p w14:paraId="07BD2BAC" w14:textId="32AAABAE" w:rsidR="003A137B" w:rsidRPr="00D6781E" w:rsidRDefault="003A137B" w:rsidP="003A137B">
      <w:pPr>
        <w:spacing w:line="360" w:lineRule="auto"/>
        <w:jc w:val="both"/>
        <w:rPr>
          <w:rFonts w:cstheme="minorHAnsi"/>
          <w:sz w:val="24"/>
          <w:szCs w:val="24"/>
        </w:rPr>
      </w:pPr>
      <w:r w:rsidRPr="00D6781E">
        <w:rPr>
          <w:rFonts w:cstheme="minorHAnsi"/>
          <w:sz w:val="24"/>
          <w:szCs w:val="24"/>
        </w:rPr>
        <w:t xml:space="preserve">According to the WHO multi-country study on women's health and domestic violence, between 53.4% (in urban areas) and 61.7% (in rural areas) of women in Bangladesh reported lifetime experience of either sexual, physical, or both types of </w:t>
      </w:r>
      <w:r w:rsidR="00F437B4" w:rsidRPr="00D6781E">
        <w:rPr>
          <w:rFonts w:cstheme="minorHAnsi"/>
          <w:sz w:val="24"/>
          <w:szCs w:val="24"/>
        </w:rPr>
        <w:t>partners</w:t>
      </w:r>
      <w:r w:rsidRPr="00D6781E">
        <w:rPr>
          <w:rFonts w:cstheme="minorHAnsi"/>
          <w:sz w:val="24"/>
          <w:szCs w:val="24"/>
        </w:rPr>
        <w:t xml:space="preserve"> violence</w:t>
      </w:r>
      <w:r w:rsidR="00F437B4" w:rsidRPr="00D6781E">
        <w:rPr>
          <w:rFonts w:cstheme="minorHAnsi"/>
          <w:sz w:val="24"/>
          <w:szCs w:val="24"/>
          <w:vertAlign w:val="superscript"/>
        </w:rPr>
        <w:t>1</w:t>
      </w:r>
      <w:r w:rsidRPr="00D6781E">
        <w:rPr>
          <w:rFonts w:cstheme="minorHAnsi"/>
          <w:sz w:val="24"/>
          <w:szCs w:val="24"/>
        </w:rPr>
        <w:t>. The country also grapples with one of the highest prevalence rates of underweight children (41%) globally</w:t>
      </w:r>
      <w:r w:rsidR="00F437B4" w:rsidRPr="00D6781E">
        <w:rPr>
          <w:rFonts w:cstheme="minorHAnsi"/>
          <w:sz w:val="24"/>
          <w:szCs w:val="24"/>
          <w:vertAlign w:val="superscript"/>
        </w:rPr>
        <w:t>3</w:t>
      </w:r>
      <w:r w:rsidRPr="00D6781E">
        <w:rPr>
          <w:rFonts w:cstheme="minorHAnsi"/>
          <w:sz w:val="24"/>
          <w:szCs w:val="24"/>
        </w:rPr>
        <w:t xml:space="preserve">. This </w:t>
      </w:r>
      <w:r w:rsidRPr="00D6781E">
        <w:rPr>
          <w:rFonts w:cstheme="minorHAnsi"/>
          <w:sz w:val="24"/>
          <w:szCs w:val="24"/>
        </w:rPr>
        <w:lastRenderedPageBreak/>
        <w:t>study seeks to assess the association between the lifetime exposure to violence by their spouses among ever-married Bangladeshi women and the nutritional status of their pre-school children, utilizing nationally representative data.</w:t>
      </w:r>
    </w:p>
    <w:p w14:paraId="4E6607D6" w14:textId="616CD5C8" w:rsidR="00962629" w:rsidRPr="00D6781E" w:rsidRDefault="00962629" w:rsidP="00962629">
      <w:pPr>
        <w:spacing w:line="360" w:lineRule="auto"/>
        <w:jc w:val="both"/>
        <w:rPr>
          <w:rFonts w:cstheme="minorHAnsi"/>
          <w:b/>
          <w:bCs/>
          <w:sz w:val="24"/>
          <w:szCs w:val="24"/>
        </w:rPr>
      </w:pPr>
      <w:r w:rsidRPr="00D6781E">
        <w:rPr>
          <w:rFonts w:cstheme="minorHAnsi"/>
          <w:b/>
          <w:bCs/>
          <w:sz w:val="24"/>
          <w:szCs w:val="24"/>
        </w:rPr>
        <w:t>Method</w:t>
      </w:r>
      <w:r w:rsidR="00F77672">
        <w:rPr>
          <w:rFonts w:cstheme="minorHAnsi"/>
          <w:b/>
          <w:bCs/>
          <w:sz w:val="24"/>
          <w:szCs w:val="24"/>
        </w:rPr>
        <w:t>s</w:t>
      </w:r>
    </w:p>
    <w:p w14:paraId="54C5691C" w14:textId="45E63D57" w:rsidR="00962629" w:rsidRPr="00D6781E" w:rsidRDefault="00962629" w:rsidP="00962629">
      <w:pPr>
        <w:spacing w:line="360" w:lineRule="auto"/>
        <w:jc w:val="both"/>
        <w:rPr>
          <w:rFonts w:cstheme="minorHAnsi"/>
          <w:b/>
          <w:bCs/>
          <w:sz w:val="24"/>
          <w:szCs w:val="24"/>
        </w:rPr>
      </w:pPr>
      <w:r w:rsidRPr="00D6781E">
        <w:rPr>
          <w:rFonts w:cstheme="minorHAnsi"/>
          <w:b/>
          <w:bCs/>
          <w:sz w:val="24"/>
          <w:szCs w:val="24"/>
        </w:rPr>
        <w:t>Data Source and Study Design</w:t>
      </w:r>
    </w:p>
    <w:p w14:paraId="1B1B2251" w14:textId="229E0D8F" w:rsidR="00962629" w:rsidRPr="00D6781E" w:rsidRDefault="00962629" w:rsidP="00962629">
      <w:pPr>
        <w:spacing w:line="360" w:lineRule="auto"/>
        <w:jc w:val="both"/>
        <w:rPr>
          <w:rFonts w:cstheme="minorHAnsi"/>
          <w:sz w:val="24"/>
          <w:szCs w:val="24"/>
        </w:rPr>
      </w:pPr>
      <w:r w:rsidRPr="00D6781E">
        <w:rPr>
          <w:rFonts w:cstheme="minorHAnsi"/>
          <w:sz w:val="24"/>
          <w:szCs w:val="24"/>
        </w:rPr>
        <w:t>This study utilized consolidated data from the most recent Demographic and Health Surveys (DHS) conducted in low- and middle-income countries (LIMCs), with funding support from the U.S. Agency for International Development (USAID). The DHS is a periodic global survey conducted every five years in LIMCs, encompassing women aged 15 to 49 and children under the age of five residing in residential households.</w:t>
      </w:r>
    </w:p>
    <w:p w14:paraId="559F6EB4" w14:textId="2CCC0926" w:rsidR="00962629" w:rsidRPr="00D6781E" w:rsidRDefault="00962629" w:rsidP="00962629">
      <w:pPr>
        <w:spacing w:line="360" w:lineRule="auto"/>
        <w:jc w:val="both"/>
        <w:rPr>
          <w:rFonts w:cstheme="minorHAnsi"/>
          <w:sz w:val="24"/>
          <w:szCs w:val="24"/>
        </w:rPr>
      </w:pPr>
      <w:r w:rsidRPr="00D6781E">
        <w:rPr>
          <w:rFonts w:cstheme="minorHAnsi"/>
          <w:sz w:val="24"/>
          <w:szCs w:val="24"/>
        </w:rPr>
        <w:t>The DHS survey employs a two-stage stratified cluster sampling approach. The initial stage involves the selection of geographic clusters or Enumeration Areas (EAs). Subsequently, households are systematically chosen from each cluster or EA. Interviews were carried out with all women aged 15 to 49 who were permanent residents in the selected households. To facilitate cross-country comparisons, DHS surveys adhere to a standardized set of operational procedures encompassing sampling methods, questionnaire design, data collection, cleaning, coding, and analysis.</w:t>
      </w:r>
    </w:p>
    <w:p w14:paraId="647614C1" w14:textId="2A87C8C7" w:rsidR="00962629" w:rsidRPr="00D6781E" w:rsidRDefault="00962629" w:rsidP="00962629">
      <w:pPr>
        <w:spacing w:line="360" w:lineRule="auto"/>
        <w:jc w:val="both"/>
        <w:rPr>
          <w:rFonts w:cstheme="minorHAnsi"/>
          <w:sz w:val="24"/>
          <w:szCs w:val="24"/>
        </w:rPr>
      </w:pPr>
      <w:r w:rsidRPr="00D6781E">
        <w:rPr>
          <w:rFonts w:cstheme="minorHAnsi"/>
          <w:sz w:val="24"/>
          <w:szCs w:val="24"/>
        </w:rPr>
        <w:t>For the purposes of this study, only women who were either married or cohabitating and possessed information related to reproductive health decision-making were included. Ethical considerations were paramount, with oral and written consent obtained from the women surveyed. The DHS typically secures ethical approval from the institutional review boards of ICF International and the ethical regulatory authorities of the respective nations where the research is conducted.</w:t>
      </w:r>
    </w:p>
    <w:p w14:paraId="2B73A97F" w14:textId="362E4932" w:rsidR="00962629" w:rsidRPr="00D6781E" w:rsidRDefault="00962629" w:rsidP="00962629">
      <w:pPr>
        <w:spacing w:line="360" w:lineRule="auto"/>
        <w:jc w:val="both"/>
        <w:rPr>
          <w:rFonts w:cstheme="minorHAnsi"/>
          <w:sz w:val="24"/>
          <w:szCs w:val="24"/>
        </w:rPr>
      </w:pPr>
      <w:r w:rsidRPr="00D6781E">
        <w:rPr>
          <w:rFonts w:cstheme="minorHAnsi"/>
          <w:sz w:val="24"/>
          <w:szCs w:val="24"/>
        </w:rPr>
        <w:t xml:space="preserve">To ensure the accuracy of standard error and p-value estimation and to render sample data representative of the entire population as per the latest standard DHS survey, sample weights were applied in all analyses. This involved the creation of two variables for stratification and primary sampling unit, achieved by grouping survey year, region, and single stratum unit, as well </w:t>
      </w:r>
      <w:r w:rsidRPr="00D6781E">
        <w:rPr>
          <w:rFonts w:cstheme="minorHAnsi"/>
          <w:sz w:val="24"/>
          <w:szCs w:val="24"/>
        </w:rPr>
        <w:lastRenderedPageBreak/>
        <w:t>as survey year, region, and primary sampling unit, respectively. Additionally, a sample weight variable was generated by dividing each woman's individual sample weight by 1,000,000.</w:t>
      </w:r>
    </w:p>
    <w:p w14:paraId="7D85D894" w14:textId="7141714E" w:rsidR="00962629" w:rsidRPr="00D6781E" w:rsidRDefault="00962629" w:rsidP="00962629">
      <w:pPr>
        <w:spacing w:line="360" w:lineRule="auto"/>
        <w:jc w:val="both"/>
        <w:rPr>
          <w:rFonts w:cstheme="minorHAnsi"/>
          <w:sz w:val="24"/>
          <w:szCs w:val="24"/>
        </w:rPr>
      </w:pPr>
      <w:r w:rsidRPr="00D6781E">
        <w:rPr>
          <w:rFonts w:cstheme="minorHAnsi"/>
          <w:sz w:val="24"/>
          <w:szCs w:val="24"/>
        </w:rPr>
        <w:t>Dealing with singleton Primary Sampling Units (PSUs) in each stratum, three methods were evaluated: "singleton (certainty)," treating each singleton unit as a certainty unit; "singleton (scaled)," where the average of variances from strata with multiple sampling units was used as a scaling factor for "singleton (certainty)"; and "singleton (centered)," which involved centering the singleton PSUs at the grand mean. The "singleton (scaled)" method was ultimately adopted for logistic analysis due to its superior performance in minimizing standard error. Categorical explanatory variables were appropriately defined and prepared for interpretation and ease of analysis. After extracting the relevant study variables from each country dataset, they were consolidated into a single dataset for comprehensive analysis.</w:t>
      </w:r>
    </w:p>
    <w:p w14:paraId="34774E37" w14:textId="4C659CE9" w:rsidR="00962629" w:rsidRPr="00D6781E" w:rsidRDefault="00962629" w:rsidP="00962629">
      <w:pPr>
        <w:spacing w:line="360" w:lineRule="auto"/>
        <w:jc w:val="both"/>
        <w:rPr>
          <w:rFonts w:cstheme="minorHAnsi"/>
          <w:b/>
          <w:bCs/>
          <w:sz w:val="24"/>
          <w:szCs w:val="24"/>
        </w:rPr>
      </w:pPr>
      <w:r w:rsidRPr="00D6781E">
        <w:rPr>
          <w:rFonts w:cstheme="minorHAnsi"/>
          <w:b/>
          <w:bCs/>
          <w:sz w:val="24"/>
          <w:szCs w:val="24"/>
        </w:rPr>
        <w:t>Exposure: Intimate Partner Violence</w:t>
      </w:r>
    </w:p>
    <w:p w14:paraId="6D6B19C4" w14:textId="203811A6" w:rsidR="00962629" w:rsidRPr="00D6781E" w:rsidRDefault="00962629" w:rsidP="00962629">
      <w:pPr>
        <w:spacing w:line="360" w:lineRule="auto"/>
        <w:jc w:val="both"/>
        <w:rPr>
          <w:rFonts w:cstheme="minorHAnsi"/>
          <w:sz w:val="24"/>
          <w:szCs w:val="24"/>
        </w:rPr>
      </w:pPr>
      <w:r w:rsidRPr="00D6781E">
        <w:rPr>
          <w:rFonts w:cstheme="minorHAnsi"/>
          <w:sz w:val="24"/>
          <w:szCs w:val="24"/>
        </w:rPr>
        <w:t>To assess women's exposure to Intimate Partner Violence (IPV), we employed a shortened and adapted conflict tactic scale. This scale measured instances of physical or sexual partner violence (National Institute of Population Research and Training (NIPORT), Mitra and Associates, &amp; Macro International, 2009). Each participating woman was asked whether her current or former husband had ever engaged in any of the following actions:</w:t>
      </w:r>
    </w:p>
    <w:p w14:paraId="40C85AC8" w14:textId="77777777" w:rsidR="00962629" w:rsidRPr="00D6781E" w:rsidRDefault="00962629" w:rsidP="00962629">
      <w:pPr>
        <w:spacing w:line="360" w:lineRule="auto"/>
        <w:jc w:val="both"/>
        <w:rPr>
          <w:rFonts w:cstheme="minorHAnsi"/>
          <w:sz w:val="24"/>
          <w:szCs w:val="24"/>
        </w:rPr>
      </w:pPr>
      <w:r w:rsidRPr="00D6781E">
        <w:rPr>
          <w:rFonts w:cstheme="minorHAnsi"/>
          <w:sz w:val="24"/>
          <w:szCs w:val="24"/>
        </w:rPr>
        <w:t>1. Pushed, shaken, or thrown something at her.</w:t>
      </w:r>
    </w:p>
    <w:p w14:paraId="614F77C1" w14:textId="77777777" w:rsidR="00962629" w:rsidRPr="00D6781E" w:rsidRDefault="00962629" w:rsidP="00962629">
      <w:pPr>
        <w:spacing w:line="360" w:lineRule="auto"/>
        <w:jc w:val="both"/>
        <w:rPr>
          <w:rFonts w:cstheme="minorHAnsi"/>
          <w:sz w:val="24"/>
          <w:szCs w:val="24"/>
        </w:rPr>
      </w:pPr>
      <w:r w:rsidRPr="00D6781E">
        <w:rPr>
          <w:rFonts w:cstheme="minorHAnsi"/>
          <w:sz w:val="24"/>
          <w:szCs w:val="24"/>
        </w:rPr>
        <w:t>2. Slapped her.</w:t>
      </w:r>
    </w:p>
    <w:p w14:paraId="40B223CB" w14:textId="77777777" w:rsidR="00962629" w:rsidRPr="00D6781E" w:rsidRDefault="00962629" w:rsidP="00962629">
      <w:pPr>
        <w:spacing w:line="360" w:lineRule="auto"/>
        <w:jc w:val="both"/>
        <w:rPr>
          <w:rFonts w:cstheme="minorHAnsi"/>
          <w:sz w:val="24"/>
          <w:szCs w:val="24"/>
        </w:rPr>
      </w:pPr>
      <w:r w:rsidRPr="00D6781E">
        <w:rPr>
          <w:rFonts w:cstheme="minorHAnsi"/>
          <w:sz w:val="24"/>
          <w:szCs w:val="24"/>
        </w:rPr>
        <w:t>3. Twisted her arm or pulled her hair.</w:t>
      </w:r>
    </w:p>
    <w:p w14:paraId="0D14062E" w14:textId="77777777" w:rsidR="00962629" w:rsidRPr="00D6781E" w:rsidRDefault="00962629" w:rsidP="00962629">
      <w:pPr>
        <w:spacing w:line="360" w:lineRule="auto"/>
        <w:jc w:val="both"/>
        <w:rPr>
          <w:rFonts w:cstheme="minorHAnsi"/>
          <w:sz w:val="24"/>
          <w:szCs w:val="24"/>
        </w:rPr>
      </w:pPr>
      <w:r w:rsidRPr="00D6781E">
        <w:rPr>
          <w:rFonts w:cstheme="minorHAnsi"/>
          <w:sz w:val="24"/>
          <w:szCs w:val="24"/>
        </w:rPr>
        <w:t>4. Punched her with his fist or with an object that could cause harm.</w:t>
      </w:r>
    </w:p>
    <w:p w14:paraId="543DC79C" w14:textId="77777777" w:rsidR="00962629" w:rsidRPr="00D6781E" w:rsidRDefault="00962629" w:rsidP="00962629">
      <w:pPr>
        <w:spacing w:line="360" w:lineRule="auto"/>
        <w:jc w:val="both"/>
        <w:rPr>
          <w:rFonts w:cstheme="minorHAnsi"/>
          <w:sz w:val="24"/>
          <w:szCs w:val="24"/>
        </w:rPr>
      </w:pPr>
      <w:r w:rsidRPr="00D6781E">
        <w:rPr>
          <w:rFonts w:cstheme="minorHAnsi"/>
          <w:sz w:val="24"/>
          <w:szCs w:val="24"/>
        </w:rPr>
        <w:t>5. Kicked, dragged, or physically beaten her.</w:t>
      </w:r>
    </w:p>
    <w:p w14:paraId="611F8EA7" w14:textId="77777777" w:rsidR="00962629" w:rsidRPr="00D6781E" w:rsidRDefault="00962629" w:rsidP="00962629">
      <w:pPr>
        <w:spacing w:line="360" w:lineRule="auto"/>
        <w:jc w:val="both"/>
        <w:rPr>
          <w:rFonts w:cstheme="minorHAnsi"/>
          <w:sz w:val="24"/>
          <w:szCs w:val="24"/>
        </w:rPr>
      </w:pPr>
      <w:r w:rsidRPr="00D6781E">
        <w:rPr>
          <w:rFonts w:cstheme="minorHAnsi"/>
          <w:sz w:val="24"/>
          <w:szCs w:val="24"/>
        </w:rPr>
        <w:t>6. Threatened or attacked her with a knife, gun, or any other weapon.</w:t>
      </w:r>
    </w:p>
    <w:p w14:paraId="12B0747D" w14:textId="77777777" w:rsidR="00962629" w:rsidRPr="00D6781E" w:rsidRDefault="00962629" w:rsidP="00962629">
      <w:pPr>
        <w:spacing w:line="360" w:lineRule="auto"/>
        <w:jc w:val="both"/>
        <w:rPr>
          <w:rFonts w:cstheme="minorHAnsi"/>
          <w:sz w:val="24"/>
          <w:szCs w:val="24"/>
        </w:rPr>
      </w:pPr>
      <w:r w:rsidRPr="00D6781E">
        <w:rPr>
          <w:rFonts w:cstheme="minorHAnsi"/>
          <w:sz w:val="24"/>
          <w:szCs w:val="24"/>
        </w:rPr>
        <w:t>7. Attempted to choke or intentionally burn her.</w:t>
      </w:r>
    </w:p>
    <w:p w14:paraId="1D7067E6" w14:textId="65DE6791" w:rsidR="00962629" w:rsidRPr="00D6781E" w:rsidRDefault="00962629" w:rsidP="00962629">
      <w:pPr>
        <w:spacing w:line="360" w:lineRule="auto"/>
        <w:jc w:val="both"/>
        <w:rPr>
          <w:rFonts w:cstheme="minorHAnsi"/>
          <w:sz w:val="24"/>
          <w:szCs w:val="24"/>
        </w:rPr>
      </w:pPr>
      <w:r w:rsidRPr="00D6781E">
        <w:rPr>
          <w:rFonts w:cstheme="minorHAnsi"/>
          <w:sz w:val="24"/>
          <w:szCs w:val="24"/>
        </w:rPr>
        <w:t>8. Physically compelled her to have sexual intercourse against her will.</w:t>
      </w:r>
    </w:p>
    <w:p w14:paraId="705CA5DD" w14:textId="313C5C8F" w:rsidR="00962629" w:rsidRPr="00D6781E" w:rsidRDefault="00962629" w:rsidP="00962629">
      <w:pPr>
        <w:spacing w:line="360" w:lineRule="auto"/>
        <w:jc w:val="both"/>
        <w:rPr>
          <w:rFonts w:cstheme="minorHAnsi"/>
          <w:sz w:val="24"/>
          <w:szCs w:val="24"/>
        </w:rPr>
      </w:pPr>
      <w:r w:rsidRPr="00D6781E">
        <w:rPr>
          <w:rFonts w:cstheme="minorHAnsi"/>
          <w:sz w:val="24"/>
          <w:szCs w:val="24"/>
        </w:rPr>
        <w:lastRenderedPageBreak/>
        <w:t>Using the collected data on IPV, we constructed three binary exposure variables: experience of any physical partner violence (yes/no), experience of any sexual partner violence (yes/no), and experience of any physical and/or sexual partner violence (yes/no). It's essential to note that, as only ever-married women were included in the 2007 Bangladesh Demographic and Health Survey (BDHS), our measure of IPV specifically pertains to spousal violence, with "partner" referring to the current or former husband.</w:t>
      </w:r>
    </w:p>
    <w:p w14:paraId="0DB1F6D9" w14:textId="73B79BBC" w:rsidR="00962629" w:rsidRPr="00D6781E" w:rsidRDefault="00962629" w:rsidP="00962629">
      <w:pPr>
        <w:spacing w:line="360" w:lineRule="auto"/>
        <w:jc w:val="both"/>
        <w:rPr>
          <w:rFonts w:cstheme="minorHAnsi"/>
          <w:sz w:val="24"/>
          <w:szCs w:val="24"/>
        </w:rPr>
      </w:pPr>
      <w:r w:rsidRPr="00D6781E">
        <w:rPr>
          <w:rFonts w:cstheme="minorHAnsi"/>
          <w:b/>
          <w:bCs/>
          <w:sz w:val="24"/>
          <w:szCs w:val="24"/>
        </w:rPr>
        <w:t>Outcome Variable: Nutritional Status</w:t>
      </w:r>
    </w:p>
    <w:p w14:paraId="12A997FB" w14:textId="2078EBD9" w:rsidR="00DB2BDB" w:rsidRPr="007D6B7B" w:rsidRDefault="00962629" w:rsidP="00962629">
      <w:pPr>
        <w:spacing w:line="360" w:lineRule="auto"/>
        <w:jc w:val="both"/>
        <w:rPr>
          <w:rFonts w:cstheme="minorHAnsi"/>
          <w:sz w:val="24"/>
          <w:szCs w:val="24"/>
        </w:rPr>
      </w:pPr>
      <w:r w:rsidRPr="00D6781E">
        <w:rPr>
          <w:rFonts w:cstheme="minorHAnsi"/>
          <w:sz w:val="24"/>
          <w:szCs w:val="24"/>
        </w:rPr>
        <w:t xml:space="preserve">The nutritional status of children under the age of 5 was evaluated using anthropometric indicators from the 2007 BDHS. These measurements were categorized </w:t>
      </w:r>
      <w:r w:rsidR="007D6B7B" w:rsidRPr="00D6781E">
        <w:rPr>
          <w:rFonts w:cstheme="minorHAnsi"/>
          <w:sz w:val="24"/>
          <w:szCs w:val="24"/>
        </w:rPr>
        <w:t>as</w:t>
      </w:r>
      <w:r w:rsidRPr="00D6781E">
        <w:rPr>
          <w:rFonts w:cstheme="minorHAnsi"/>
          <w:sz w:val="24"/>
          <w:szCs w:val="24"/>
        </w:rPr>
        <w:t xml:space="preserve"> underweight, wasted, and stunted based on the criteria and growth standards established by the World Health Organization (WHO) (World Health Organization Multicentre Growth Reference Study Group, 2006). Detailed information regarding anthropometric measurements can be found elsewhere (National Institute of Population Research and Training (NIPORT), Mitra and Associates, &amp; Macro International, 2009). All children under 5 years of age belonging to the selected women were included in the analysis. Consequently, we developed three binary outcome variables: </w:t>
      </w:r>
      <w:r w:rsidR="007D6B7B" w:rsidRPr="00D6781E">
        <w:rPr>
          <w:rFonts w:cstheme="minorHAnsi"/>
          <w:sz w:val="24"/>
          <w:szCs w:val="24"/>
        </w:rPr>
        <w:t>whether</w:t>
      </w:r>
      <w:r w:rsidRPr="00D6781E">
        <w:rPr>
          <w:rFonts w:cstheme="minorHAnsi"/>
          <w:sz w:val="24"/>
          <w:szCs w:val="24"/>
        </w:rPr>
        <w:t xml:space="preserve"> the woman had any stunted child under 5 years, whether or not the woman had any wasted child under 5 years, and whether or not the woman had any underweight child under 5 years.</w:t>
      </w:r>
    </w:p>
    <w:p w14:paraId="55763E37" w14:textId="1FAA550F" w:rsidR="00DB2BDB" w:rsidRPr="00D6781E" w:rsidRDefault="00CD5F3B" w:rsidP="00962629">
      <w:pPr>
        <w:spacing w:line="360" w:lineRule="auto"/>
        <w:jc w:val="both"/>
        <w:rPr>
          <w:rFonts w:cstheme="minorHAnsi"/>
          <w:b/>
          <w:bCs/>
          <w:sz w:val="24"/>
          <w:szCs w:val="24"/>
        </w:rPr>
      </w:pPr>
      <w:r w:rsidRPr="00D6781E">
        <w:rPr>
          <w:rFonts w:cstheme="minorHAnsi"/>
          <w:b/>
          <w:bCs/>
          <w:sz w:val="24"/>
          <w:szCs w:val="24"/>
        </w:rPr>
        <w:t>Explanatory Variables</w:t>
      </w:r>
    </w:p>
    <w:p w14:paraId="0AD59E08" w14:textId="12E88621" w:rsidR="00DB2BDB" w:rsidRDefault="00DB2BDB" w:rsidP="00962629">
      <w:pPr>
        <w:spacing w:line="360" w:lineRule="auto"/>
        <w:jc w:val="both"/>
        <w:rPr>
          <w:rFonts w:cstheme="minorHAnsi"/>
          <w:sz w:val="24"/>
          <w:szCs w:val="24"/>
        </w:rPr>
      </w:pPr>
      <w:r w:rsidRPr="00D6781E">
        <w:rPr>
          <w:rFonts w:cstheme="minorHAnsi"/>
          <w:sz w:val="24"/>
          <w:szCs w:val="24"/>
        </w:rPr>
        <w:t xml:space="preserve">The covariates considered in this study encompass a range of socio-demographic and health-related factors known to impact child nutrition and Intimate Partner Violence (IPV) in the context of Bangladesh. These include the educational levels of both women, categorized into four groups each. Household wealth, determined by housing characteristics and assets, was divided into quintiles. The number of children under 5 years in the household, residence type (rural or urban), and marital duration were also examined. Furthermore, women's height and weight were used to calculate Body Mass Index (BMI) and classify them as underweight, normal, or overweight. Additionally, key variables such as child's age and sex, respondent's and partner's/husband's occupations, delivery by caesarean section, recent occurrences of diarrhea and fever, and years </w:t>
      </w:r>
      <w:r w:rsidRPr="00D6781E">
        <w:rPr>
          <w:rFonts w:cstheme="minorHAnsi"/>
          <w:sz w:val="24"/>
          <w:szCs w:val="24"/>
        </w:rPr>
        <w:lastRenderedPageBreak/>
        <w:t>of breastfeeding were included in the analysis.</w:t>
      </w:r>
      <w:r w:rsidR="00F77672">
        <w:rPr>
          <w:rFonts w:cstheme="minorHAnsi"/>
          <w:sz w:val="24"/>
          <w:szCs w:val="24"/>
        </w:rPr>
        <w:t xml:space="preserve"> Detailed </w:t>
      </w:r>
      <w:r w:rsidR="00F77672" w:rsidRPr="00F77672">
        <w:rPr>
          <w:rFonts w:cstheme="minorHAnsi"/>
          <w:sz w:val="24"/>
          <w:szCs w:val="24"/>
        </w:rPr>
        <w:t>Variables Recoding Procedures</w:t>
      </w:r>
      <w:r w:rsidR="00F77672">
        <w:rPr>
          <w:rFonts w:cstheme="minorHAnsi"/>
          <w:sz w:val="24"/>
          <w:szCs w:val="24"/>
        </w:rPr>
        <w:t xml:space="preserve"> can be found in </w:t>
      </w:r>
      <w:r w:rsidR="00F77672">
        <w:rPr>
          <w:rFonts w:cstheme="minorHAnsi"/>
          <w:b/>
          <w:bCs/>
          <w:sz w:val="24"/>
          <w:szCs w:val="24"/>
        </w:rPr>
        <w:t>t</w:t>
      </w:r>
      <w:r w:rsidR="00F77672" w:rsidRPr="00F77672">
        <w:rPr>
          <w:rFonts w:cstheme="minorHAnsi"/>
          <w:b/>
          <w:bCs/>
          <w:sz w:val="24"/>
          <w:szCs w:val="24"/>
        </w:rPr>
        <w:t>able 1</w:t>
      </w:r>
      <w:r w:rsidR="00F77672">
        <w:rPr>
          <w:rFonts w:cstheme="minorHAnsi"/>
          <w:sz w:val="24"/>
          <w:szCs w:val="24"/>
        </w:rPr>
        <w:t>.</w:t>
      </w:r>
    </w:p>
    <w:p w14:paraId="40041C0B" w14:textId="5442F020" w:rsidR="00F77672" w:rsidRDefault="00F77672" w:rsidP="00F77672">
      <w:pPr>
        <w:rPr>
          <w:rFonts w:asciiTheme="majorHAnsi" w:hAnsiTheme="majorHAnsi" w:cstheme="majorHAnsi"/>
          <w:b/>
          <w:bCs/>
          <w:sz w:val="24"/>
          <w:szCs w:val="24"/>
        </w:rPr>
      </w:pPr>
      <w:r>
        <w:rPr>
          <w:rFonts w:asciiTheme="majorHAnsi" w:hAnsiTheme="majorHAnsi" w:cstheme="majorHAnsi"/>
          <w:b/>
          <w:bCs/>
          <w:sz w:val="24"/>
          <w:szCs w:val="24"/>
        </w:rPr>
        <w:t xml:space="preserve">Table 1: </w:t>
      </w:r>
      <w:r w:rsidRPr="00755EB1">
        <w:rPr>
          <w:rFonts w:asciiTheme="majorHAnsi" w:hAnsiTheme="majorHAnsi" w:cstheme="majorHAnsi"/>
          <w:b/>
          <w:bCs/>
          <w:sz w:val="24"/>
          <w:szCs w:val="24"/>
        </w:rPr>
        <w:t>Variables Recoding Procedures.</w:t>
      </w:r>
    </w:p>
    <w:p w14:paraId="3678AADD" w14:textId="77777777" w:rsidR="00F77672" w:rsidRPr="00755EB1" w:rsidRDefault="00F77672" w:rsidP="00F77672">
      <w:pPr>
        <w:rPr>
          <w:rFonts w:asciiTheme="majorHAnsi" w:hAnsiTheme="majorHAnsi" w:cstheme="majorHAnsi"/>
          <w:sz w:val="24"/>
          <w:szCs w:val="24"/>
        </w:rPr>
      </w:pPr>
    </w:p>
    <w:p w14:paraId="54043222" w14:textId="77777777" w:rsidR="00F77672" w:rsidRPr="00D6781E" w:rsidRDefault="00F77672" w:rsidP="00962629">
      <w:pPr>
        <w:spacing w:line="360" w:lineRule="auto"/>
        <w:jc w:val="both"/>
        <w:rPr>
          <w:rFonts w:cstheme="minorHAnsi"/>
          <w:sz w:val="24"/>
          <w:szCs w:val="24"/>
        </w:rPr>
      </w:pPr>
    </w:p>
    <w:p w14:paraId="74B79500" w14:textId="41DC27A5" w:rsidR="00A40D32" w:rsidRDefault="002A6444" w:rsidP="00962629">
      <w:pPr>
        <w:spacing w:line="360" w:lineRule="auto"/>
        <w:jc w:val="both"/>
        <w:rPr>
          <w:rFonts w:cstheme="minorHAnsi"/>
          <w:b/>
          <w:bCs/>
          <w:sz w:val="24"/>
          <w:szCs w:val="24"/>
        </w:rPr>
      </w:pPr>
      <w:r w:rsidRPr="00D6781E">
        <w:rPr>
          <w:rFonts w:cstheme="minorHAnsi"/>
          <w:b/>
          <w:bCs/>
          <w:sz w:val="24"/>
          <w:szCs w:val="24"/>
        </w:rPr>
        <w:t>Statistical Analysis</w:t>
      </w:r>
    </w:p>
    <w:p w14:paraId="07B95C3C" w14:textId="77777777" w:rsidR="00D76264" w:rsidRPr="00D76264" w:rsidRDefault="00D76264" w:rsidP="00D76264">
      <w:pPr>
        <w:spacing w:line="360" w:lineRule="auto"/>
        <w:jc w:val="both"/>
        <w:rPr>
          <w:rFonts w:cstheme="minorHAnsi"/>
          <w:b/>
          <w:bCs/>
          <w:sz w:val="24"/>
          <w:szCs w:val="24"/>
        </w:rPr>
      </w:pPr>
      <w:r w:rsidRPr="00D76264">
        <w:rPr>
          <w:rFonts w:cstheme="minorHAnsi"/>
          <w:b/>
          <w:bCs/>
          <w:sz w:val="24"/>
          <w:szCs w:val="24"/>
        </w:rPr>
        <w:t>Descriptive Statistics:</w:t>
      </w:r>
    </w:p>
    <w:p w14:paraId="6D14224A" w14:textId="77777777" w:rsidR="00D76264" w:rsidRPr="00D76264" w:rsidRDefault="00D76264" w:rsidP="00D76264">
      <w:pPr>
        <w:spacing w:line="360" w:lineRule="auto"/>
        <w:jc w:val="both"/>
        <w:rPr>
          <w:rFonts w:cstheme="minorHAnsi"/>
          <w:sz w:val="24"/>
          <w:szCs w:val="24"/>
        </w:rPr>
      </w:pPr>
      <w:r w:rsidRPr="00D76264">
        <w:rPr>
          <w:rFonts w:cstheme="minorHAnsi"/>
          <w:sz w:val="24"/>
          <w:szCs w:val="24"/>
        </w:rPr>
        <w:t>Descriptive statistics were employed to provide a comprehensive snapshot of the study population concerning women's exposure to Intimate Partner Violence (IPV) and the nutritional status of their children. Key demographic variables, such as child age, sex, place of residence, maternal education, wealth index, and mode of delivery, were summarized using measures of central tendency and dispersion. This initial exploration facilitated the identification of trends and patterns within the dataset.</w:t>
      </w:r>
    </w:p>
    <w:p w14:paraId="38746F70" w14:textId="77777777" w:rsidR="00D76264" w:rsidRPr="00D76264" w:rsidRDefault="00D76264" w:rsidP="00D76264">
      <w:pPr>
        <w:spacing w:line="360" w:lineRule="auto"/>
        <w:jc w:val="both"/>
        <w:rPr>
          <w:rFonts w:cstheme="minorHAnsi"/>
          <w:sz w:val="24"/>
          <w:szCs w:val="24"/>
        </w:rPr>
      </w:pPr>
    </w:p>
    <w:p w14:paraId="65E3ED95" w14:textId="77777777" w:rsidR="00D76264" w:rsidRPr="00D76264" w:rsidRDefault="00D76264" w:rsidP="00D76264">
      <w:pPr>
        <w:spacing w:line="360" w:lineRule="auto"/>
        <w:jc w:val="both"/>
        <w:rPr>
          <w:rFonts w:cstheme="minorHAnsi"/>
          <w:b/>
          <w:bCs/>
          <w:sz w:val="24"/>
          <w:szCs w:val="24"/>
        </w:rPr>
      </w:pPr>
      <w:r w:rsidRPr="00D76264">
        <w:rPr>
          <w:rFonts w:cstheme="minorHAnsi"/>
          <w:b/>
          <w:bCs/>
          <w:sz w:val="24"/>
          <w:szCs w:val="24"/>
        </w:rPr>
        <w:t>Chi-Square Test:</w:t>
      </w:r>
    </w:p>
    <w:p w14:paraId="4BA62676" w14:textId="56B4EB24" w:rsidR="00D76264" w:rsidRPr="00D76264" w:rsidRDefault="00D76264" w:rsidP="00D76264">
      <w:pPr>
        <w:spacing w:line="360" w:lineRule="auto"/>
        <w:jc w:val="both"/>
        <w:rPr>
          <w:rFonts w:cstheme="minorHAnsi"/>
          <w:sz w:val="24"/>
          <w:szCs w:val="24"/>
        </w:rPr>
      </w:pPr>
      <w:r w:rsidRPr="00D76264">
        <w:rPr>
          <w:rFonts w:cstheme="minorHAnsi"/>
          <w:sz w:val="24"/>
          <w:szCs w:val="24"/>
        </w:rPr>
        <w:t>The Chi-Square test was employed to assess the association between categorical variables and child malnutrition in the context of women's exposure to IPV. Factors such as child age, sex, place of residence, maternal education, and other socio-economic variables were tested for their significance in relation to child malnutrition. The Chi-Square test provided a foundational understanding of the univariate associations between these variables and the outcome of interest.</w:t>
      </w:r>
    </w:p>
    <w:p w14:paraId="401E49D2" w14:textId="77777777" w:rsidR="00D76264" w:rsidRPr="00D76264" w:rsidRDefault="00D76264" w:rsidP="00D76264">
      <w:pPr>
        <w:spacing w:line="360" w:lineRule="auto"/>
        <w:jc w:val="both"/>
        <w:rPr>
          <w:rFonts w:cstheme="minorHAnsi"/>
          <w:b/>
          <w:bCs/>
          <w:sz w:val="24"/>
          <w:szCs w:val="24"/>
        </w:rPr>
      </w:pPr>
      <w:r w:rsidRPr="00D76264">
        <w:rPr>
          <w:rFonts w:cstheme="minorHAnsi"/>
          <w:b/>
          <w:bCs/>
          <w:sz w:val="24"/>
          <w:szCs w:val="24"/>
        </w:rPr>
        <w:t>Multiple Logistic Regression Model:</w:t>
      </w:r>
    </w:p>
    <w:p w14:paraId="36661CCB" w14:textId="21DDD805" w:rsidR="00D76264" w:rsidRPr="00D76264" w:rsidRDefault="00D76264" w:rsidP="00D76264">
      <w:pPr>
        <w:spacing w:line="360" w:lineRule="auto"/>
        <w:jc w:val="both"/>
        <w:rPr>
          <w:rFonts w:cstheme="minorHAnsi"/>
          <w:sz w:val="24"/>
          <w:szCs w:val="24"/>
        </w:rPr>
      </w:pPr>
      <w:r w:rsidRPr="00D76264">
        <w:rPr>
          <w:rFonts w:cstheme="minorHAnsi"/>
          <w:sz w:val="24"/>
          <w:szCs w:val="24"/>
        </w:rPr>
        <w:t xml:space="preserve">To delve deeper into the factors contributing to child malnutrition while considering the influence of women's exposure to IPV, a multiple logistic regression model was employed. The model included a range of socio-economic variables identified in the descriptive statistics and Chi-Square </w:t>
      </w:r>
      <w:r w:rsidRPr="00D76264">
        <w:rPr>
          <w:rFonts w:cstheme="minorHAnsi"/>
          <w:sz w:val="24"/>
          <w:szCs w:val="24"/>
        </w:rPr>
        <w:lastRenderedPageBreak/>
        <w:t>test phase. Child age, maternal education, wealth index, and mode of delivery were among the key predictors assessed for their independent contributions to child malnutrition.</w:t>
      </w:r>
    </w:p>
    <w:p w14:paraId="630B3800" w14:textId="7D5ADD04" w:rsidR="00D76264" w:rsidRPr="00D76264" w:rsidRDefault="00D76264" w:rsidP="00D76264">
      <w:pPr>
        <w:spacing w:line="360" w:lineRule="auto"/>
        <w:jc w:val="both"/>
        <w:rPr>
          <w:rFonts w:cstheme="minorHAnsi"/>
          <w:sz w:val="24"/>
          <w:szCs w:val="24"/>
        </w:rPr>
      </w:pPr>
      <w:r w:rsidRPr="00D76264">
        <w:rPr>
          <w:rFonts w:cstheme="minorHAnsi"/>
          <w:sz w:val="24"/>
          <w:szCs w:val="24"/>
        </w:rPr>
        <w:t>The logistic regression model allowed for the examination of the simultaneous impact of multiple predictors, considering potential confounding effects. Odds ratios and associated confidence intervals were calculated to quantify the strength and direction of these associations. Model fit and significance were evaluated to ascertain the robustness of the identified predictors. The regression analysis aimed to elucidate the nuanced relationships between socio-economic factors, women's exposure to IPV, and the likelihood of child malnutrition.</w:t>
      </w:r>
    </w:p>
    <w:p w14:paraId="65A4752B" w14:textId="407032AA" w:rsidR="00A40D32" w:rsidRPr="00D76264" w:rsidRDefault="00D76264" w:rsidP="00D76264">
      <w:pPr>
        <w:spacing w:line="360" w:lineRule="auto"/>
        <w:jc w:val="both"/>
        <w:rPr>
          <w:rFonts w:cstheme="minorHAnsi"/>
          <w:sz w:val="24"/>
          <w:szCs w:val="24"/>
        </w:rPr>
      </w:pPr>
      <w:r w:rsidRPr="00D76264">
        <w:rPr>
          <w:rFonts w:cstheme="minorHAnsi"/>
          <w:sz w:val="24"/>
          <w:szCs w:val="24"/>
        </w:rPr>
        <w:t>This multifaceted analytical approach, encompassing descriptive statistics, Chi-Square tests, and multiple logistic regression, provided a comprehensive understanding of the factors contributing to child malnutrition in the specific context of women's exposure to IPV. The combined insights from these analyses offer a nuanced perspective on the intricate interplay between socio-economic determinants and the nutritional status of children in the study population.</w:t>
      </w:r>
    </w:p>
    <w:p w14:paraId="4B0B5378" w14:textId="48A1802E" w:rsidR="002A6444" w:rsidRPr="00D6781E" w:rsidRDefault="002A6444" w:rsidP="00962629">
      <w:pPr>
        <w:spacing w:line="360" w:lineRule="auto"/>
        <w:jc w:val="both"/>
        <w:rPr>
          <w:rFonts w:cstheme="minorHAnsi"/>
          <w:b/>
          <w:bCs/>
          <w:sz w:val="24"/>
          <w:szCs w:val="24"/>
        </w:rPr>
      </w:pPr>
      <w:r w:rsidRPr="00D6781E">
        <w:rPr>
          <w:rFonts w:cstheme="minorHAnsi"/>
          <w:b/>
          <w:bCs/>
          <w:sz w:val="24"/>
          <w:szCs w:val="24"/>
        </w:rPr>
        <w:t>Results</w:t>
      </w:r>
    </w:p>
    <w:p w14:paraId="6892DA2B" w14:textId="10C58D1F" w:rsidR="006C0D46" w:rsidRPr="00D6781E" w:rsidRDefault="006C0D46" w:rsidP="006C0D46">
      <w:pPr>
        <w:spacing w:line="360" w:lineRule="auto"/>
        <w:jc w:val="both"/>
        <w:rPr>
          <w:rFonts w:cstheme="minorHAnsi"/>
          <w:b/>
          <w:bCs/>
          <w:sz w:val="24"/>
          <w:szCs w:val="24"/>
        </w:rPr>
      </w:pPr>
      <w:r w:rsidRPr="00D6781E">
        <w:rPr>
          <w:rFonts w:cstheme="minorHAnsi"/>
          <w:b/>
          <w:bCs/>
          <w:sz w:val="24"/>
          <w:szCs w:val="24"/>
        </w:rPr>
        <w:t>Descriptive Statistics</w:t>
      </w:r>
    </w:p>
    <w:p w14:paraId="7E6A3C88" w14:textId="05C3909E" w:rsidR="006C0D46" w:rsidRPr="00D6781E" w:rsidRDefault="006C0D46" w:rsidP="006C0D46">
      <w:pPr>
        <w:spacing w:line="360" w:lineRule="auto"/>
        <w:jc w:val="both"/>
        <w:rPr>
          <w:rFonts w:cstheme="minorHAnsi"/>
          <w:sz w:val="24"/>
          <w:szCs w:val="24"/>
        </w:rPr>
      </w:pPr>
      <w:r w:rsidRPr="00D6781E">
        <w:rPr>
          <w:rFonts w:cstheme="minorHAnsi"/>
          <w:sz w:val="24"/>
          <w:szCs w:val="24"/>
        </w:rPr>
        <w:t xml:space="preserve">Descriptive statistics, as presented in </w:t>
      </w:r>
      <w:r w:rsidRPr="00D6781E">
        <w:rPr>
          <w:rFonts w:cstheme="minorHAnsi"/>
          <w:b/>
          <w:bCs/>
          <w:sz w:val="24"/>
          <w:szCs w:val="24"/>
        </w:rPr>
        <w:t>Table 2,</w:t>
      </w:r>
      <w:r w:rsidRPr="00D6781E">
        <w:rPr>
          <w:rFonts w:cstheme="minorHAnsi"/>
          <w:sz w:val="24"/>
          <w:szCs w:val="24"/>
        </w:rPr>
        <w:t xml:space="preserve"> provide a comprehensive snapshot of the study population concerning women's exposure to Intimate Partner Violence (IPV) and the nutritional status of their children, based on data from the Bangladesh 2017 Demographic and Health Survey.</w:t>
      </w:r>
    </w:p>
    <w:p w14:paraId="5C1AE58B" w14:textId="3A8FB346" w:rsidR="006C0D46" w:rsidRPr="00D6781E" w:rsidRDefault="006C0D46" w:rsidP="006C0D46">
      <w:pPr>
        <w:spacing w:line="360" w:lineRule="auto"/>
        <w:jc w:val="both"/>
        <w:rPr>
          <w:rFonts w:cstheme="minorHAnsi"/>
          <w:sz w:val="24"/>
          <w:szCs w:val="24"/>
        </w:rPr>
      </w:pPr>
      <w:r w:rsidRPr="00D6781E">
        <w:rPr>
          <w:rFonts w:cstheme="minorHAnsi"/>
          <w:sz w:val="24"/>
          <w:szCs w:val="24"/>
        </w:rPr>
        <w:t>Regarding the age of children, a noteworthy distinction was observed, with one-year-old children experiencing malnutrition at a rate of 58.6%, whereas the prevalence decreased in older age groups. The child's sex showed minimal variation in malnutrition rates, with 67.4% of males and 63.5% of females being affected. Urban and rural residences exhibited similar malnutrition rates, with 64.2% in urban areas and 66% in rural areas.</w:t>
      </w:r>
    </w:p>
    <w:p w14:paraId="7C982093" w14:textId="35DD4EE9" w:rsidR="006C0D46" w:rsidRPr="00D6781E" w:rsidRDefault="006C0D46" w:rsidP="006C0D46">
      <w:pPr>
        <w:spacing w:line="360" w:lineRule="auto"/>
        <w:jc w:val="both"/>
        <w:rPr>
          <w:rFonts w:cstheme="minorHAnsi"/>
          <w:sz w:val="24"/>
          <w:szCs w:val="24"/>
        </w:rPr>
      </w:pPr>
      <w:r w:rsidRPr="00D6781E">
        <w:rPr>
          <w:rFonts w:cstheme="minorHAnsi"/>
          <w:sz w:val="24"/>
          <w:szCs w:val="24"/>
        </w:rPr>
        <w:t>Education levels had a discernible impact, as women with no education had a malnutrition rate of 72.2%, whereas those with higher education exhibited a lower rate at 51.4%. The number of children under 5 in the household did not significantly affect malnutrition rates, as rates remained fairly consistent among those with one, two, or three or more children.</w:t>
      </w:r>
    </w:p>
    <w:p w14:paraId="2E09CAD9" w14:textId="06290941" w:rsidR="006C0D46" w:rsidRPr="00D6781E" w:rsidRDefault="006C0D46" w:rsidP="006C0D46">
      <w:pPr>
        <w:spacing w:line="360" w:lineRule="auto"/>
        <w:jc w:val="both"/>
        <w:rPr>
          <w:rFonts w:cstheme="minorHAnsi"/>
          <w:sz w:val="24"/>
          <w:szCs w:val="24"/>
        </w:rPr>
      </w:pPr>
      <w:r w:rsidRPr="00D6781E">
        <w:rPr>
          <w:rFonts w:cstheme="minorHAnsi"/>
          <w:sz w:val="24"/>
          <w:szCs w:val="24"/>
        </w:rPr>
        <w:lastRenderedPageBreak/>
        <w:t>Occupation types, both for respondents and their partners, showed no substantial disparities in malnutrition rates. The combined wealth index demonstrated a significant influence, with the poorest group experiencing a malnutrition rate of 68.2%, in contrast to the richest group with a rate of 53.7%. Delivery by caesarean section also played a role, with 67.4% of non-caesarean deliveries and 58.6% of caesarean deliveries resulting in malnutrition.</w:t>
      </w:r>
    </w:p>
    <w:tbl>
      <w:tblPr>
        <w:tblStyle w:val="TableGrid"/>
        <w:tblpPr w:leftFromText="180" w:rightFromText="180" w:horzAnchor="margin" w:tblpY="664"/>
        <w:tblW w:w="0" w:type="auto"/>
        <w:tblInd w:w="0" w:type="dxa"/>
        <w:tblLayout w:type="fixed"/>
        <w:tblLook w:val="04A0" w:firstRow="1" w:lastRow="0" w:firstColumn="1" w:lastColumn="0" w:noHBand="0" w:noVBand="1"/>
      </w:tblPr>
      <w:tblGrid>
        <w:gridCol w:w="1870"/>
        <w:gridCol w:w="2625"/>
        <w:gridCol w:w="1618"/>
        <w:gridCol w:w="1618"/>
        <w:gridCol w:w="1619"/>
      </w:tblGrid>
      <w:tr w:rsidR="00E36D06" w:rsidRPr="003C738A" w14:paraId="66F7B9F8" w14:textId="77777777" w:rsidTr="00C953A7">
        <w:tc>
          <w:tcPr>
            <w:tcW w:w="1870" w:type="dxa"/>
            <w:tcBorders>
              <w:top w:val="single" w:sz="4" w:space="0" w:color="auto"/>
              <w:left w:val="single" w:sz="4" w:space="0" w:color="auto"/>
              <w:bottom w:val="single" w:sz="4" w:space="0" w:color="auto"/>
              <w:right w:val="single" w:sz="4" w:space="0" w:color="auto"/>
            </w:tcBorders>
            <w:vAlign w:val="center"/>
            <w:hideMark/>
          </w:tcPr>
          <w:p w14:paraId="12453C80" w14:textId="77777777" w:rsidR="00E36D06" w:rsidRPr="003C738A" w:rsidRDefault="00E36D06" w:rsidP="00C953A7">
            <w:pPr>
              <w:jc w:val="center"/>
              <w:rPr>
                <w:rFonts w:cstheme="minorHAnsi"/>
                <w:b/>
                <w:bCs/>
                <w:sz w:val="20"/>
                <w:szCs w:val="20"/>
              </w:rPr>
            </w:pPr>
            <w:bookmarkStart w:id="0" w:name="_Hlk154093095"/>
            <w:r w:rsidRPr="003C738A">
              <w:rPr>
                <w:rFonts w:cstheme="minorHAnsi"/>
                <w:b/>
                <w:bCs/>
                <w:sz w:val="20"/>
                <w:szCs w:val="20"/>
              </w:rPr>
              <w:t>Variables</w:t>
            </w:r>
          </w:p>
        </w:tc>
        <w:tc>
          <w:tcPr>
            <w:tcW w:w="2625" w:type="dxa"/>
            <w:tcBorders>
              <w:top w:val="single" w:sz="4" w:space="0" w:color="auto"/>
              <w:left w:val="single" w:sz="4" w:space="0" w:color="auto"/>
              <w:bottom w:val="single" w:sz="4" w:space="0" w:color="auto"/>
              <w:right w:val="single" w:sz="4" w:space="0" w:color="auto"/>
            </w:tcBorders>
            <w:vAlign w:val="center"/>
            <w:hideMark/>
          </w:tcPr>
          <w:p w14:paraId="052EB9D1" w14:textId="77777777" w:rsidR="00E36D06" w:rsidRPr="003C738A" w:rsidRDefault="00E36D06" w:rsidP="00C953A7">
            <w:pPr>
              <w:jc w:val="center"/>
              <w:rPr>
                <w:rFonts w:cstheme="minorHAnsi"/>
                <w:b/>
                <w:bCs/>
                <w:sz w:val="20"/>
                <w:szCs w:val="20"/>
              </w:rPr>
            </w:pPr>
            <w:r w:rsidRPr="003C738A">
              <w:rPr>
                <w:rFonts w:cstheme="minorHAnsi"/>
                <w:b/>
                <w:bCs/>
                <w:sz w:val="20"/>
                <w:szCs w:val="20"/>
              </w:rPr>
              <w:t>Category</w:t>
            </w:r>
          </w:p>
        </w:tc>
        <w:tc>
          <w:tcPr>
            <w:tcW w:w="1618" w:type="dxa"/>
            <w:tcBorders>
              <w:top w:val="single" w:sz="4" w:space="0" w:color="auto"/>
              <w:left w:val="single" w:sz="4" w:space="0" w:color="auto"/>
              <w:bottom w:val="single" w:sz="4" w:space="0" w:color="auto"/>
              <w:right w:val="single" w:sz="4" w:space="0" w:color="auto"/>
            </w:tcBorders>
            <w:vAlign w:val="center"/>
            <w:hideMark/>
          </w:tcPr>
          <w:p w14:paraId="6C9B4D0E" w14:textId="77777777" w:rsidR="00E36D06" w:rsidRPr="003C738A" w:rsidRDefault="00E36D06" w:rsidP="00C953A7">
            <w:pPr>
              <w:jc w:val="center"/>
              <w:rPr>
                <w:rFonts w:cstheme="minorHAnsi"/>
                <w:b/>
                <w:bCs/>
                <w:sz w:val="20"/>
                <w:szCs w:val="20"/>
              </w:rPr>
            </w:pPr>
            <w:r w:rsidRPr="003C738A">
              <w:rPr>
                <w:rFonts w:cstheme="minorHAnsi"/>
                <w:b/>
                <w:bCs/>
                <w:sz w:val="20"/>
                <w:szCs w:val="20"/>
              </w:rPr>
              <w:t>Malnutrition N (%)</w:t>
            </w:r>
          </w:p>
        </w:tc>
        <w:tc>
          <w:tcPr>
            <w:tcW w:w="1618" w:type="dxa"/>
            <w:tcBorders>
              <w:top w:val="single" w:sz="4" w:space="0" w:color="auto"/>
              <w:left w:val="single" w:sz="4" w:space="0" w:color="auto"/>
              <w:bottom w:val="single" w:sz="4" w:space="0" w:color="auto"/>
              <w:right w:val="single" w:sz="4" w:space="0" w:color="auto"/>
            </w:tcBorders>
            <w:vAlign w:val="center"/>
            <w:hideMark/>
          </w:tcPr>
          <w:p w14:paraId="1CE812E4" w14:textId="77777777" w:rsidR="00E36D06" w:rsidRPr="003C738A" w:rsidRDefault="00E36D06" w:rsidP="00C953A7">
            <w:pPr>
              <w:jc w:val="center"/>
              <w:rPr>
                <w:rFonts w:cstheme="minorHAnsi"/>
                <w:b/>
                <w:bCs/>
                <w:sz w:val="20"/>
                <w:szCs w:val="20"/>
              </w:rPr>
            </w:pPr>
            <w:r w:rsidRPr="003C738A">
              <w:rPr>
                <w:rFonts w:cstheme="minorHAnsi"/>
                <w:b/>
                <w:bCs/>
                <w:sz w:val="20"/>
                <w:szCs w:val="20"/>
              </w:rPr>
              <w:t>Normal N (%)</w:t>
            </w:r>
          </w:p>
        </w:tc>
        <w:tc>
          <w:tcPr>
            <w:tcW w:w="1619" w:type="dxa"/>
            <w:tcBorders>
              <w:top w:val="single" w:sz="4" w:space="0" w:color="auto"/>
              <w:left w:val="single" w:sz="4" w:space="0" w:color="auto"/>
              <w:bottom w:val="single" w:sz="4" w:space="0" w:color="auto"/>
              <w:right w:val="single" w:sz="4" w:space="0" w:color="auto"/>
            </w:tcBorders>
            <w:vAlign w:val="center"/>
            <w:hideMark/>
          </w:tcPr>
          <w:p w14:paraId="0E297199" w14:textId="77777777" w:rsidR="00E36D06" w:rsidRPr="003C738A" w:rsidRDefault="00E36D06" w:rsidP="00C953A7">
            <w:pPr>
              <w:jc w:val="center"/>
              <w:rPr>
                <w:rFonts w:cstheme="minorHAnsi"/>
                <w:b/>
                <w:bCs/>
                <w:sz w:val="20"/>
                <w:szCs w:val="20"/>
              </w:rPr>
            </w:pPr>
            <w:r w:rsidRPr="003C738A">
              <w:rPr>
                <w:rFonts w:cstheme="minorHAnsi"/>
                <w:b/>
                <w:bCs/>
                <w:sz w:val="20"/>
                <w:szCs w:val="20"/>
              </w:rPr>
              <w:t>P-value</w:t>
            </w:r>
            <w:r>
              <w:rPr>
                <w:rFonts w:cstheme="minorHAnsi"/>
                <w:b/>
                <w:bCs/>
                <w:sz w:val="20"/>
                <w:szCs w:val="20"/>
              </w:rPr>
              <w:t xml:space="preserve"> (Chi Square)</w:t>
            </w:r>
          </w:p>
        </w:tc>
      </w:tr>
      <w:tr w:rsidR="00E36D06" w:rsidRPr="003C738A" w14:paraId="4B1D9045" w14:textId="77777777" w:rsidTr="00C953A7">
        <w:tc>
          <w:tcPr>
            <w:tcW w:w="1870" w:type="dxa"/>
            <w:vMerge w:val="restart"/>
            <w:tcBorders>
              <w:top w:val="single" w:sz="4" w:space="0" w:color="auto"/>
              <w:left w:val="single" w:sz="4" w:space="0" w:color="auto"/>
              <w:right w:val="single" w:sz="4" w:space="0" w:color="auto"/>
            </w:tcBorders>
            <w:vAlign w:val="center"/>
            <w:hideMark/>
          </w:tcPr>
          <w:p w14:paraId="48A6528F" w14:textId="77777777" w:rsidR="00E36D06" w:rsidRPr="003C738A" w:rsidRDefault="00E36D06" w:rsidP="00C953A7">
            <w:pPr>
              <w:jc w:val="center"/>
              <w:rPr>
                <w:rFonts w:cstheme="minorHAnsi"/>
              </w:rPr>
            </w:pPr>
            <w:r w:rsidRPr="003C738A">
              <w:rPr>
                <w:rFonts w:cstheme="minorHAnsi"/>
              </w:rPr>
              <w:t>Child’s age</w:t>
            </w:r>
          </w:p>
        </w:tc>
        <w:tc>
          <w:tcPr>
            <w:tcW w:w="2625" w:type="dxa"/>
            <w:tcBorders>
              <w:top w:val="single" w:sz="4" w:space="0" w:color="auto"/>
              <w:left w:val="single" w:sz="4" w:space="0" w:color="auto"/>
              <w:bottom w:val="single" w:sz="4" w:space="0" w:color="auto"/>
              <w:right w:val="single" w:sz="4" w:space="0" w:color="auto"/>
            </w:tcBorders>
            <w:vAlign w:val="center"/>
            <w:hideMark/>
          </w:tcPr>
          <w:p w14:paraId="2FBA0E45" w14:textId="77777777" w:rsidR="00E36D06" w:rsidRPr="003C738A" w:rsidRDefault="00E36D06" w:rsidP="00C953A7">
            <w:pPr>
              <w:jc w:val="center"/>
              <w:rPr>
                <w:rFonts w:cstheme="minorHAnsi"/>
                <w:sz w:val="18"/>
                <w:szCs w:val="18"/>
              </w:rPr>
            </w:pPr>
            <w:r w:rsidRPr="003C738A">
              <w:rPr>
                <w:rFonts w:cstheme="minorHAnsi"/>
                <w:sz w:val="18"/>
                <w:szCs w:val="18"/>
              </w:rPr>
              <w:t>One year old</w:t>
            </w:r>
          </w:p>
        </w:tc>
        <w:tc>
          <w:tcPr>
            <w:tcW w:w="1618" w:type="dxa"/>
            <w:tcBorders>
              <w:top w:val="single" w:sz="4" w:space="0" w:color="auto"/>
              <w:left w:val="single" w:sz="4" w:space="0" w:color="auto"/>
              <w:bottom w:val="single" w:sz="4" w:space="0" w:color="auto"/>
              <w:right w:val="single" w:sz="4" w:space="0" w:color="auto"/>
            </w:tcBorders>
            <w:vAlign w:val="center"/>
          </w:tcPr>
          <w:p w14:paraId="0FC22A23" w14:textId="77777777" w:rsidR="00E36D06" w:rsidRPr="003C738A" w:rsidRDefault="00E36D06" w:rsidP="00C953A7">
            <w:pPr>
              <w:jc w:val="center"/>
              <w:rPr>
                <w:rFonts w:cstheme="minorHAnsi"/>
                <w:sz w:val="18"/>
                <w:szCs w:val="18"/>
              </w:rPr>
            </w:pPr>
            <w:r w:rsidRPr="003C738A">
              <w:rPr>
                <w:rFonts w:cstheme="minorHAnsi"/>
                <w:sz w:val="18"/>
                <w:szCs w:val="18"/>
              </w:rPr>
              <w:t>188.1(58.6)</w:t>
            </w:r>
          </w:p>
        </w:tc>
        <w:tc>
          <w:tcPr>
            <w:tcW w:w="1618" w:type="dxa"/>
            <w:tcBorders>
              <w:top w:val="single" w:sz="4" w:space="0" w:color="auto"/>
              <w:left w:val="single" w:sz="4" w:space="0" w:color="auto"/>
              <w:bottom w:val="single" w:sz="4" w:space="0" w:color="auto"/>
              <w:right w:val="single" w:sz="4" w:space="0" w:color="auto"/>
            </w:tcBorders>
            <w:vAlign w:val="center"/>
          </w:tcPr>
          <w:p w14:paraId="26D7359E" w14:textId="77777777" w:rsidR="00E36D06" w:rsidRPr="003C738A" w:rsidRDefault="00E36D06" w:rsidP="00C953A7">
            <w:pPr>
              <w:jc w:val="center"/>
              <w:rPr>
                <w:rFonts w:cstheme="minorHAnsi"/>
                <w:sz w:val="18"/>
                <w:szCs w:val="18"/>
              </w:rPr>
            </w:pPr>
            <w:r w:rsidRPr="003C738A">
              <w:rPr>
                <w:rFonts w:cstheme="minorHAnsi"/>
                <w:sz w:val="18"/>
                <w:szCs w:val="18"/>
              </w:rPr>
              <w:t>132.9(41.4)</w:t>
            </w:r>
          </w:p>
        </w:tc>
        <w:tc>
          <w:tcPr>
            <w:tcW w:w="1619" w:type="dxa"/>
            <w:vMerge w:val="restart"/>
            <w:tcBorders>
              <w:top w:val="single" w:sz="4" w:space="0" w:color="auto"/>
              <w:left w:val="single" w:sz="4" w:space="0" w:color="auto"/>
              <w:right w:val="single" w:sz="4" w:space="0" w:color="auto"/>
            </w:tcBorders>
            <w:vAlign w:val="center"/>
          </w:tcPr>
          <w:p w14:paraId="2930AB04" w14:textId="77777777" w:rsidR="00E36D06" w:rsidRPr="003C738A" w:rsidRDefault="00E36D06" w:rsidP="00C953A7">
            <w:pPr>
              <w:jc w:val="center"/>
              <w:rPr>
                <w:rFonts w:cstheme="minorHAnsi"/>
                <w:b/>
                <w:bCs/>
                <w:sz w:val="18"/>
                <w:szCs w:val="18"/>
              </w:rPr>
            </w:pPr>
            <w:r w:rsidRPr="003C738A">
              <w:rPr>
                <w:rFonts w:cstheme="minorHAnsi"/>
                <w:b/>
                <w:bCs/>
                <w:sz w:val="18"/>
                <w:szCs w:val="18"/>
              </w:rPr>
              <w:t>0.0156</w:t>
            </w:r>
          </w:p>
        </w:tc>
      </w:tr>
      <w:tr w:rsidR="00E36D06" w:rsidRPr="003C738A" w14:paraId="5259FD66" w14:textId="77777777" w:rsidTr="00C953A7">
        <w:tc>
          <w:tcPr>
            <w:tcW w:w="1870" w:type="dxa"/>
            <w:vMerge/>
            <w:tcBorders>
              <w:left w:val="single" w:sz="4" w:space="0" w:color="auto"/>
              <w:right w:val="single" w:sz="4" w:space="0" w:color="auto"/>
            </w:tcBorders>
            <w:vAlign w:val="center"/>
            <w:hideMark/>
          </w:tcPr>
          <w:p w14:paraId="48347C69"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20959DB7" w14:textId="77777777" w:rsidR="00E36D06" w:rsidRPr="003C738A" w:rsidRDefault="00E36D06" w:rsidP="00C953A7">
            <w:pPr>
              <w:jc w:val="center"/>
              <w:rPr>
                <w:rFonts w:cstheme="minorHAnsi"/>
                <w:sz w:val="18"/>
                <w:szCs w:val="18"/>
              </w:rPr>
            </w:pPr>
            <w:r w:rsidRPr="003C738A">
              <w:rPr>
                <w:rFonts w:cstheme="minorHAnsi"/>
                <w:sz w:val="18"/>
                <w:szCs w:val="18"/>
              </w:rPr>
              <w:t>Two years old</w:t>
            </w:r>
          </w:p>
        </w:tc>
        <w:tc>
          <w:tcPr>
            <w:tcW w:w="1618" w:type="dxa"/>
            <w:tcBorders>
              <w:top w:val="single" w:sz="4" w:space="0" w:color="auto"/>
              <w:left w:val="single" w:sz="4" w:space="0" w:color="auto"/>
              <w:bottom w:val="single" w:sz="4" w:space="0" w:color="auto"/>
              <w:right w:val="single" w:sz="4" w:space="0" w:color="auto"/>
            </w:tcBorders>
            <w:vAlign w:val="center"/>
          </w:tcPr>
          <w:p w14:paraId="26D03998" w14:textId="77777777" w:rsidR="00E36D06" w:rsidRPr="003C738A" w:rsidRDefault="00E36D06" w:rsidP="00C953A7">
            <w:pPr>
              <w:jc w:val="center"/>
              <w:rPr>
                <w:rFonts w:cstheme="minorHAnsi"/>
                <w:sz w:val="18"/>
                <w:szCs w:val="18"/>
              </w:rPr>
            </w:pPr>
            <w:r w:rsidRPr="003C738A">
              <w:rPr>
                <w:rFonts w:cstheme="minorHAnsi"/>
                <w:sz w:val="18"/>
                <w:szCs w:val="18"/>
              </w:rPr>
              <w:t>213.9(73.45)</w:t>
            </w:r>
          </w:p>
        </w:tc>
        <w:tc>
          <w:tcPr>
            <w:tcW w:w="1618" w:type="dxa"/>
            <w:tcBorders>
              <w:top w:val="single" w:sz="4" w:space="0" w:color="auto"/>
              <w:left w:val="single" w:sz="4" w:space="0" w:color="auto"/>
              <w:bottom w:val="single" w:sz="4" w:space="0" w:color="auto"/>
              <w:right w:val="single" w:sz="4" w:space="0" w:color="auto"/>
            </w:tcBorders>
            <w:vAlign w:val="center"/>
          </w:tcPr>
          <w:p w14:paraId="1D3E33F8" w14:textId="77777777" w:rsidR="00E36D06" w:rsidRPr="003C738A" w:rsidRDefault="00E36D06" w:rsidP="00C953A7">
            <w:pPr>
              <w:jc w:val="center"/>
              <w:rPr>
                <w:rFonts w:cstheme="minorHAnsi"/>
                <w:sz w:val="18"/>
                <w:szCs w:val="18"/>
              </w:rPr>
            </w:pPr>
            <w:r w:rsidRPr="003C738A">
              <w:rPr>
                <w:rFonts w:cstheme="minorHAnsi"/>
                <w:sz w:val="18"/>
                <w:szCs w:val="18"/>
              </w:rPr>
              <w:t>77.32(26.55)</w:t>
            </w:r>
          </w:p>
        </w:tc>
        <w:tc>
          <w:tcPr>
            <w:tcW w:w="1619" w:type="dxa"/>
            <w:vMerge/>
            <w:tcBorders>
              <w:left w:val="single" w:sz="4" w:space="0" w:color="auto"/>
              <w:right w:val="single" w:sz="4" w:space="0" w:color="auto"/>
            </w:tcBorders>
            <w:vAlign w:val="center"/>
          </w:tcPr>
          <w:p w14:paraId="765C69F6" w14:textId="77777777" w:rsidR="00E36D06" w:rsidRPr="003C738A" w:rsidRDefault="00E36D06" w:rsidP="00C953A7">
            <w:pPr>
              <w:jc w:val="center"/>
              <w:rPr>
                <w:rFonts w:cstheme="minorHAnsi"/>
                <w:sz w:val="18"/>
                <w:szCs w:val="18"/>
              </w:rPr>
            </w:pPr>
          </w:p>
        </w:tc>
      </w:tr>
      <w:tr w:rsidR="00E36D06" w:rsidRPr="003C738A" w14:paraId="59090D8C" w14:textId="77777777" w:rsidTr="00C953A7">
        <w:tc>
          <w:tcPr>
            <w:tcW w:w="1870" w:type="dxa"/>
            <w:vMerge/>
            <w:tcBorders>
              <w:left w:val="single" w:sz="4" w:space="0" w:color="auto"/>
              <w:right w:val="single" w:sz="4" w:space="0" w:color="auto"/>
            </w:tcBorders>
            <w:vAlign w:val="center"/>
            <w:hideMark/>
          </w:tcPr>
          <w:p w14:paraId="615B15C8"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7E5F90CA" w14:textId="77777777" w:rsidR="00E36D06" w:rsidRPr="003C738A" w:rsidRDefault="00E36D06" w:rsidP="00C953A7">
            <w:pPr>
              <w:jc w:val="center"/>
              <w:rPr>
                <w:rFonts w:cstheme="minorHAnsi"/>
                <w:sz w:val="18"/>
                <w:szCs w:val="18"/>
              </w:rPr>
            </w:pPr>
            <w:r w:rsidRPr="003C738A">
              <w:rPr>
                <w:rFonts w:cstheme="minorHAnsi"/>
                <w:sz w:val="18"/>
                <w:szCs w:val="18"/>
              </w:rPr>
              <w:t>Three years old</w:t>
            </w:r>
          </w:p>
        </w:tc>
        <w:tc>
          <w:tcPr>
            <w:tcW w:w="1618" w:type="dxa"/>
            <w:tcBorders>
              <w:top w:val="single" w:sz="4" w:space="0" w:color="auto"/>
              <w:left w:val="single" w:sz="4" w:space="0" w:color="auto"/>
              <w:bottom w:val="single" w:sz="4" w:space="0" w:color="auto"/>
              <w:right w:val="single" w:sz="4" w:space="0" w:color="auto"/>
            </w:tcBorders>
            <w:vAlign w:val="center"/>
          </w:tcPr>
          <w:p w14:paraId="33428E3E" w14:textId="77777777" w:rsidR="00E36D06" w:rsidRPr="003C738A" w:rsidRDefault="00E36D06" w:rsidP="00C953A7">
            <w:pPr>
              <w:jc w:val="center"/>
              <w:rPr>
                <w:rFonts w:cstheme="minorHAnsi"/>
                <w:sz w:val="18"/>
                <w:szCs w:val="18"/>
              </w:rPr>
            </w:pPr>
            <w:r w:rsidRPr="003C738A">
              <w:rPr>
                <w:rFonts w:cstheme="minorHAnsi"/>
                <w:sz w:val="18"/>
                <w:szCs w:val="18"/>
              </w:rPr>
              <w:t>173.5(63.88)</w:t>
            </w:r>
          </w:p>
        </w:tc>
        <w:tc>
          <w:tcPr>
            <w:tcW w:w="1618" w:type="dxa"/>
            <w:tcBorders>
              <w:top w:val="single" w:sz="4" w:space="0" w:color="auto"/>
              <w:left w:val="single" w:sz="4" w:space="0" w:color="auto"/>
              <w:bottom w:val="single" w:sz="4" w:space="0" w:color="auto"/>
              <w:right w:val="single" w:sz="4" w:space="0" w:color="auto"/>
            </w:tcBorders>
            <w:vAlign w:val="center"/>
          </w:tcPr>
          <w:p w14:paraId="1B57B9EA" w14:textId="77777777" w:rsidR="00E36D06" w:rsidRPr="003C738A" w:rsidRDefault="00E36D06" w:rsidP="00C953A7">
            <w:pPr>
              <w:jc w:val="center"/>
              <w:rPr>
                <w:rFonts w:cstheme="minorHAnsi"/>
                <w:sz w:val="18"/>
                <w:szCs w:val="18"/>
              </w:rPr>
            </w:pPr>
            <w:r w:rsidRPr="003C738A">
              <w:rPr>
                <w:rFonts w:cstheme="minorHAnsi"/>
                <w:sz w:val="18"/>
                <w:szCs w:val="18"/>
              </w:rPr>
              <w:t>98.1(36.12)</w:t>
            </w:r>
          </w:p>
        </w:tc>
        <w:tc>
          <w:tcPr>
            <w:tcW w:w="1619" w:type="dxa"/>
            <w:vMerge/>
            <w:tcBorders>
              <w:left w:val="single" w:sz="4" w:space="0" w:color="auto"/>
              <w:right w:val="single" w:sz="4" w:space="0" w:color="auto"/>
            </w:tcBorders>
            <w:vAlign w:val="center"/>
          </w:tcPr>
          <w:p w14:paraId="0F84143C" w14:textId="77777777" w:rsidR="00E36D06" w:rsidRPr="003C738A" w:rsidRDefault="00E36D06" w:rsidP="00C953A7">
            <w:pPr>
              <w:jc w:val="center"/>
              <w:rPr>
                <w:rFonts w:cstheme="minorHAnsi"/>
                <w:sz w:val="18"/>
                <w:szCs w:val="18"/>
              </w:rPr>
            </w:pPr>
          </w:p>
        </w:tc>
      </w:tr>
      <w:tr w:rsidR="00E36D06" w:rsidRPr="003C738A" w14:paraId="209D0E21" w14:textId="77777777" w:rsidTr="00C953A7">
        <w:tc>
          <w:tcPr>
            <w:tcW w:w="1870" w:type="dxa"/>
            <w:vMerge/>
            <w:tcBorders>
              <w:left w:val="single" w:sz="4" w:space="0" w:color="auto"/>
              <w:right w:val="single" w:sz="4" w:space="0" w:color="auto"/>
            </w:tcBorders>
            <w:vAlign w:val="center"/>
            <w:hideMark/>
          </w:tcPr>
          <w:p w14:paraId="4B59A633"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4949D369" w14:textId="77777777" w:rsidR="00E36D06" w:rsidRPr="003C738A" w:rsidRDefault="00E36D06" w:rsidP="00C953A7">
            <w:pPr>
              <w:jc w:val="center"/>
              <w:rPr>
                <w:rFonts w:cstheme="minorHAnsi"/>
                <w:sz w:val="18"/>
                <w:szCs w:val="18"/>
              </w:rPr>
            </w:pPr>
            <w:r w:rsidRPr="003C738A">
              <w:rPr>
                <w:rFonts w:cstheme="minorHAnsi"/>
                <w:sz w:val="18"/>
                <w:szCs w:val="18"/>
              </w:rPr>
              <w:t>Four years old</w:t>
            </w:r>
          </w:p>
        </w:tc>
        <w:tc>
          <w:tcPr>
            <w:tcW w:w="1618" w:type="dxa"/>
            <w:tcBorders>
              <w:top w:val="single" w:sz="4" w:space="0" w:color="auto"/>
              <w:left w:val="single" w:sz="4" w:space="0" w:color="auto"/>
              <w:bottom w:val="single" w:sz="4" w:space="0" w:color="auto"/>
              <w:right w:val="single" w:sz="4" w:space="0" w:color="auto"/>
            </w:tcBorders>
            <w:vAlign w:val="center"/>
          </w:tcPr>
          <w:p w14:paraId="304037AA" w14:textId="77777777" w:rsidR="00E36D06" w:rsidRPr="003C738A" w:rsidRDefault="00E36D06" w:rsidP="00C953A7">
            <w:pPr>
              <w:jc w:val="center"/>
              <w:rPr>
                <w:rFonts w:cstheme="minorHAnsi"/>
                <w:sz w:val="18"/>
                <w:szCs w:val="18"/>
              </w:rPr>
            </w:pPr>
            <w:r w:rsidRPr="003C738A">
              <w:rPr>
                <w:rFonts w:cstheme="minorHAnsi"/>
                <w:sz w:val="18"/>
                <w:szCs w:val="18"/>
              </w:rPr>
              <w:t>205.1(64.58)</w:t>
            </w:r>
          </w:p>
        </w:tc>
        <w:tc>
          <w:tcPr>
            <w:tcW w:w="1618" w:type="dxa"/>
            <w:tcBorders>
              <w:top w:val="single" w:sz="4" w:space="0" w:color="auto"/>
              <w:left w:val="single" w:sz="4" w:space="0" w:color="auto"/>
              <w:bottom w:val="single" w:sz="4" w:space="0" w:color="auto"/>
              <w:right w:val="single" w:sz="4" w:space="0" w:color="auto"/>
            </w:tcBorders>
            <w:vAlign w:val="center"/>
          </w:tcPr>
          <w:p w14:paraId="2AA44A67" w14:textId="77777777" w:rsidR="00E36D06" w:rsidRPr="003C738A" w:rsidRDefault="00E36D06" w:rsidP="00C953A7">
            <w:pPr>
              <w:jc w:val="center"/>
              <w:rPr>
                <w:rFonts w:cstheme="minorHAnsi"/>
                <w:sz w:val="18"/>
                <w:szCs w:val="18"/>
              </w:rPr>
            </w:pPr>
            <w:r w:rsidRPr="003C738A">
              <w:rPr>
                <w:rFonts w:cstheme="minorHAnsi"/>
                <w:sz w:val="18"/>
                <w:szCs w:val="18"/>
              </w:rPr>
              <w:t>112.5(35.42)</w:t>
            </w:r>
          </w:p>
        </w:tc>
        <w:tc>
          <w:tcPr>
            <w:tcW w:w="1619" w:type="dxa"/>
            <w:vMerge/>
            <w:tcBorders>
              <w:left w:val="single" w:sz="4" w:space="0" w:color="auto"/>
              <w:right w:val="single" w:sz="4" w:space="0" w:color="auto"/>
            </w:tcBorders>
            <w:vAlign w:val="center"/>
          </w:tcPr>
          <w:p w14:paraId="7BC71C7E" w14:textId="77777777" w:rsidR="00E36D06" w:rsidRPr="003C738A" w:rsidRDefault="00E36D06" w:rsidP="00C953A7">
            <w:pPr>
              <w:jc w:val="center"/>
              <w:rPr>
                <w:rFonts w:cstheme="minorHAnsi"/>
                <w:sz w:val="18"/>
                <w:szCs w:val="18"/>
              </w:rPr>
            </w:pPr>
          </w:p>
        </w:tc>
      </w:tr>
      <w:tr w:rsidR="00E36D06" w:rsidRPr="003C738A" w14:paraId="2FF648E0" w14:textId="77777777" w:rsidTr="00C953A7">
        <w:tc>
          <w:tcPr>
            <w:tcW w:w="1870" w:type="dxa"/>
            <w:vMerge/>
            <w:tcBorders>
              <w:left w:val="single" w:sz="4" w:space="0" w:color="auto"/>
              <w:bottom w:val="single" w:sz="4" w:space="0" w:color="auto"/>
              <w:right w:val="single" w:sz="4" w:space="0" w:color="auto"/>
            </w:tcBorders>
            <w:vAlign w:val="center"/>
            <w:hideMark/>
          </w:tcPr>
          <w:p w14:paraId="4433C14F"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108BCBD1" w14:textId="77777777" w:rsidR="00E36D06" w:rsidRPr="003C738A" w:rsidRDefault="00E36D06" w:rsidP="00C953A7">
            <w:pPr>
              <w:jc w:val="center"/>
              <w:rPr>
                <w:rFonts w:cstheme="minorHAnsi"/>
                <w:sz w:val="18"/>
                <w:szCs w:val="18"/>
              </w:rPr>
            </w:pPr>
            <w:r w:rsidRPr="003C738A">
              <w:rPr>
                <w:rFonts w:cstheme="minorHAnsi"/>
                <w:sz w:val="18"/>
                <w:szCs w:val="18"/>
              </w:rPr>
              <w:t>Five years old</w:t>
            </w:r>
          </w:p>
        </w:tc>
        <w:tc>
          <w:tcPr>
            <w:tcW w:w="1618" w:type="dxa"/>
            <w:tcBorders>
              <w:top w:val="single" w:sz="4" w:space="0" w:color="auto"/>
              <w:left w:val="single" w:sz="4" w:space="0" w:color="auto"/>
              <w:bottom w:val="single" w:sz="4" w:space="0" w:color="auto"/>
              <w:right w:val="single" w:sz="4" w:space="0" w:color="auto"/>
            </w:tcBorders>
            <w:vAlign w:val="center"/>
          </w:tcPr>
          <w:p w14:paraId="5E16DBC7" w14:textId="77777777" w:rsidR="00E36D06" w:rsidRPr="003C738A" w:rsidRDefault="00E36D06" w:rsidP="00C953A7">
            <w:pPr>
              <w:jc w:val="center"/>
              <w:rPr>
                <w:rFonts w:cstheme="minorHAnsi"/>
                <w:sz w:val="18"/>
                <w:szCs w:val="18"/>
              </w:rPr>
            </w:pPr>
            <w:r w:rsidRPr="003C738A">
              <w:rPr>
                <w:rFonts w:cstheme="minorHAnsi"/>
                <w:sz w:val="18"/>
                <w:szCs w:val="18"/>
              </w:rPr>
              <w:t>187(66.93)</w:t>
            </w:r>
          </w:p>
        </w:tc>
        <w:tc>
          <w:tcPr>
            <w:tcW w:w="1618" w:type="dxa"/>
            <w:tcBorders>
              <w:top w:val="single" w:sz="4" w:space="0" w:color="auto"/>
              <w:left w:val="single" w:sz="4" w:space="0" w:color="auto"/>
              <w:bottom w:val="single" w:sz="4" w:space="0" w:color="auto"/>
              <w:right w:val="single" w:sz="4" w:space="0" w:color="auto"/>
            </w:tcBorders>
            <w:vAlign w:val="center"/>
          </w:tcPr>
          <w:p w14:paraId="2DFA4CBE" w14:textId="77777777" w:rsidR="00E36D06" w:rsidRPr="003C738A" w:rsidRDefault="00E36D06" w:rsidP="00C953A7">
            <w:pPr>
              <w:jc w:val="center"/>
              <w:rPr>
                <w:rFonts w:cstheme="minorHAnsi"/>
                <w:sz w:val="18"/>
                <w:szCs w:val="18"/>
              </w:rPr>
            </w:pPr>
            <w:r w:rsidRPr="003C738A">
              <w:rPr>
                <w:rFonts w:cstheme="minorHAnsi"/>
                <w:sz w:val="18"/>
                <w:szCs w:val="18"/>
              </w:rPr>
              <w:t>92.44(33.07)</w:t>
            </w:r>
          </w:p>
        </w:tc>
        <w:tc>
          <w:tcPr>
            <w:tcW w:w="1619" w:type="dxa"/>
            <w:vMerge/>
            <w:tcBorders>
              <w:left w:val="single" w:sz="4" w:space="0" w:color="auto"/>
              <w:bottom w:val="single" w:sz="4" w:space="0" w:color="auto"/>
              <w:right w:val="single" w:sz="4" w:space="0" w:color="auto"/>
            </w:tcBorders>
            <w:vAlign w:val="center"/>
          </w:tcPr>
          <w:p w14:paraId="765EDAA1" w14:textId="77777777" w:rsidR="00E36D06" w:rsidRPr="003C738A" w:rsidRDefault="00E36D06" w:rsidP="00C953A7">
            <w:pPr>
              <w:jc w:val="center"/>
              <w:rPr>
                <w:rFonts w:cstheme="minorHAnsi"/>
                <w:sz w:val="18"/>
                <w:szCs w:val="18"/>
              </w:rPr>
            </w:pPr>
          </w:p>
        </w:tc>
      </w:tr>
      <w:tr w:rsidR="00E36D06" w:rsidRPr="003C738A" w14:paraId="0467974D" w14:textId="77777777" w:rsidTr="00C953A7">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165692EB" w14:textId="77777777" w:rsidR="00E36D06" w:rsidRPr="003C738A" w:rsidRDefault="00E36D06" w:rsidP="00C953A7">
            <w:pPr>
              <w:jc w:val="center"/>
              <w:rPr>
                <w:rFonts w:cstheme="minorHAnsi"/>
              </w:rPr>
            </w:pPr>
            <w:r w:rsidRPr="003C738A">
              <w:rPr>
                <w:rFonts w:cstheme="minorHAnsi"/>
              </w:rPr>
              <w:t>Sex of the Child</w:t>
            </w:r>
          </w:p>
        </w:tc>
        <w:tc>
          <w:tcPr>
            <w:tcW w:w="2625" w:type="dxa"/>
            <w:tcBorders>
              <w:top w:val="single" w:sz="4" w:space="0" w:color="auto"/>
              <w:left w:val="single" w:sz="4" w:space="0" w:color="auto"/>
              <w:bottom w:val="single" w:sz="4" w:space="0" w:color="auto"/>
              <w:right w:val="single" w:sz="4" w:space="0" w:color="auto"/>
            </w:tcBorders>
            <w:vAlign w:val="center"/>
            <w:hideMark/>
          </w:tcPr>
          <w:p w14:paraId="124EF72C" w14:textId="77777777" w:rsidR="00E36D06" w:rsidRPr="003C738A" w:rsidRDefault="00E36D06" w:rsidP="00C953A7">
            <w:pPr>
              <w:jc w:val="center"/>
              <w:rPr>
                <w:rFonts w:cstheme="minorHAnsi"/>
                <w:sz w:val="18"/>
                <w:szCs w:val="18"/>
              </w:rPr>
            </w:pPr>
            <w:r w:rsidRPr="003C738A">
              <w:rPr>
                <w:rFonts w:cstheme="minorHAnsi"/>
                <w:sz w:val="18"/>
                <w:szCs w:val="18"/>
              </w:rPr>
              <w:t>Male</w:t>
            </w:r>
          </w:p>
        </w:tc>
        <w:tc>
          <w:tcPr>
            <w:tcW w:w="1618" w:type="dxa"/>
            <w:tcBorders>
              <w:top w:val="single" w:sz="4" w:space="0" w:color="auto"/>
              <w:left w:val="single" w:sz="4" w:space="0" w:color="auto"/>
              <w:bottom w:val="single" w:sz="4" w:space="0" w:color="auto"/>
              <w:right w:val="single" w:sz="4" w:space="0" w:color="auto"/>
            </w:tcBorders>
            <w:vAlign w:val="center"/>
          </w:tcPr>
          <w:p w14:paraId="7A6D167E" w14:textId="77777777" w:rsidR="00E36D06" w:rsidRPr="003C738A" w:rsidRDefault="00E36D06" w:rsidP="00C953A7">
            <w:pPr>
              <w:jc w:val="center"/>
              <w:rPr>
                <w:rFonts w:cstheme="minorHAnsi"/>
                <w:sz w:val="18"/>
                <w:szCs w:val="18"/>
              </w:rPr>
            </w:pPr>
            <w:r w:rsidRPr="003C738A">
              <w:rPr>
                <w:rFonts w:cstheme="minorHAnsi"/>
                <w:sz w:val="18"/>
                <w:szCs w:val="18"/>
              </w:rPr>
              <w:t>521.2(67.37)</w:t>
            </w:r>
          </w:p>
        </w:tc>
        <w:tc>
          <w:tcPr>
            <w:tcW w:w="1618" w:type="dxa"/>
            <w:tcBorders>
              <w:top w:val="single" w:sz="4" w:space="0" w:color="auto"/>
              <w:left w:val="single" w:sz="4" w:space="0" w:color="auto"/>
              <w:bottom w:val="single" w:sz="4" w:space="0" w:color="auto"/>
              <w:right w:val="single" w:sz="4" w:space="0" w:color="auto"/>
            </w:tcBorders>
            <w:vAlign w:val="center"/>
          </w:tcPr>
          <w:p w14:paraId="4604D2DD" w14:textId="77777777" w:rsidR="00E36D06" w:rsidRPr="003C738A" w:rsidRDefault="00E36D06" w:rsidP="00C953A7">
            <w:pPr>
              <w:jc w:val="center"/>
              <w:rPr>
                <w:rFonts w:cstheme="minorHAnsi"/>
                <w:sz w:val="18"/>
                <w:szCs w:val="18"/>
              </w:rPr>
            </w:pPr>
            <w:r w:rsidRPr="003C738A">
              <w:rPr>
                <w:rFonts w:cstheme="minorHAnsi"/>
                <w:sz w:val="18"/>
                <w:szCs w:val="18"/>
              </w:rPr>
              <w:t>252.5(32.63)</w:t>
            </w:r>
          </w:p>
        </w:tc>
        <w:tc>
          <w:tcPr>
            <w:tcW w:w="1619" w:type="dxa"/>
            <w:vMerge w:val="restart"/>
            <w:tcBorders>
              <w:top w:val="single" w:sz="4" w:space="0" w:color="auto"/>
              <w:left w:val="single" w:sz="4" w:space="0" w:color="auto"/>
              <w:right w:val="single" w:sz="4" w:space="0" w:color="auto"/>
            </w:tcBorders>
            <w:vAlign w:val="center"/>
          </w:tcPr>
          <w:p w14:paraId="421A4220" w14:textId="77777777" w:rsidR="00E36D06" w:rsidRPr="003C738A" w:rsidRDefault="00E36D06" w:rsidP="00C953A7">
            <w:pPr>
              <w:jc w:val="center"/>
              <w:rPr>
                <w:rFonts w:cstheme="minorHAnsi"/>
                <w:sz w:val="18"/>
                <w:szCs w:val="18"/>
              </w:rPr>
            </w:pPr>
            <w:r w:rsidRPr="003C738A">
              <w:rPr>
                <w:rFonts w:cstheme="minorHAnsi"/>
                <w:sz w:val="18"/>
                <w:szCs w:val="18"/>
              </w:rPr>
              <w:t>0.1591</w:t>
            </w:r>
          </w:p>
        </w:tc>
      </w:tr>
      <w:tr w:rsidR="00E36D06" w:rsidRPr="003C738A" w14:paraId="108539C7"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15241800"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24B9863A" w14:textId="77777777" w:rsidR="00E36D06" w:rsidRPr="003C738A" w:rsidRDefault="00E36D06" w:rsidP="00C953A7">
            <w:pPr>
              <w:jc w:val="center"/>
              <w:rPr>
                <w:rFonts w:cstheme="minorHAnsi"/>
                <w:sz w:val="18"/>
                <w:szCs w:val="18"/>
              </w:rPr>
            </w:pPr>
            <w:r w:rsidRPr="003C738A">
              <w:rPr>
                <w:rFonts w:cstheme="minorHAnsi"/>
                <w:sz w:val="18"/>
                <w:szCs w:val="18"/>
              </w:rPr>
              <w:t>Female</w:t>
            </w:r>
          </w:p>
        </w:tc>
        <w:tc>
          <w:tcPr>
            <w:tcW w:w="1618" w:type="dxa"/>
            <w:tcBorders>
              <w:top w:val="single" w:sz="4" w:space="0" w:color="auto"/>
              <w:left w:val="single" w:sz="4" w:space="0" w:color="auto"/>
              <w:bottom w:val="single" w:sz="4" w:space="0" w:color="auto"/>
              <w:right w:val="single" w:sz="4" w:space="0" w:color="auto"/>
            </w:tcBorders>
            <w:vAlign w:val="center"/>
          </w:tcPr>
          <w:p w14:paraId="7C5F2AD2" w14:textId="77777777" w:rsidR="00E36D06" w:rsidRPr="003C738A" w:rsidRDefault="00E36D06" w:rsidP="00C953A7">
            <w:pPr>
              <w:jc w:val="center"/>
              <w:rPr>
                <w:rFonts w:cstheme="minorHAnsi"/>
                <w:sz w:val="18"/>
                <w:szCs w:val="18"/>
              </w:rPr>
            </w:pPr>
            <w:r w:rsidRPr="003C738A">
              <w:rPr>
                <w:rFonts w:cstheme="minorHAnsi"/>
                <w:sz w:val="18"/>
                <w:szCs w:val="18"/>
              </w:rPr>
              <w:t>470.5(63.52)</w:t>
            </w:r>
          </w:p>
        </w:tc>
        <w:tc>
          <w:tcPr>
            <w:tcW w:w="1618" w:type="dxa"/>
            <w:tcBorders>
              <w:top w:val="single" w:sz="4" w:space="0" w:color="auto"/>
              <w:left w:val="single" w:sz="4" w:space="0" w:color="auto"/>
              <w:bottom w:val="single" w:sz="4" w:space="0" w:color="auto"/>
              <w:right w:val="single" w:sz="4" w:space="0" w:color="auto"/>
            </w:tcBorders>
            <w:vAlign w:val="center"/>
          </w:tcPr>
          <w:p w14:paraId="69FAACA1" w14:textId="77777777" w:rsidR="00E36D06" w:rsidRPr="003C738A" w:rsidRDefault="00E36D06" w:rsidP="00C953A7">
            <w:pPr>
              <w:jc w:val="center"/>
              <w:rPr>
                <w:rFonts w:cstheme="minorHAnsi"/>
                <w:sz w:val="18"/>
                <w:szCs w:val="18"/>
              </w:rPr>
            </w:pPr>
            <w:r w:rsidRPr="003C738A">
              <w:rPr>
                <w:rFonts w:cstheme="minorHAnsi"/>
                <w:sz w:val="18"/>
                <w:szCs w:val="18"/>
              </w:rPr>
              <w:t>270.3(36.48)</w:t>
            </w:r>
          </w:p>
        </w:tc>
        <w:tc>
          <w:tcPr>
            <w:tcW w:w="1619" w:type="dxa"/>
            <w:vMerge/>
            <w:tcBorders>
              <w:left w:val="single" w:sz="4" w:space="0" w:color="auto"/>
              <w:bottom w:val="single" w:sz="4" w:space="0" w:color="auto"/>
              <w:right w:val="single" w:sz="4" w:space="0" w:color="auto"/>
            </w:tcBorders>
            <w:vAlign w:val="center"/>
          </w:tcPr>
          <w:p w14:paraId="50BD7D85" w14:textId="77777777" w:rsidR="00E36D06" w:rsidRPr="003C738A" w:rsidRDefault="00E36D06" w:rsidP="00C953A7">
            <w:pPr>
              <w:jc w:val="center"/>
              <w:rPr>
                <w:rFonts w:cstheme="minorHAnsi"/>
                <w:sz w:val="18"/>
                <w:szCs w:val="18"/>
              </w:rPr>
            </w:pPr>
          </w:p>
        </w:tc>
      </w:tr>
      <w:tr w:rsidR="00E36D06" w:rsidRPr="003C738A" w14:paraId="34DFA6EA" w14:textId="77777777" w:rsidTr="00C953A7">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62062E54" w14:textId="77777777" w:rsidR="00E36D06" w:rsidRPr="003C738A" w:rsidRDefault="00E36D06" w:rsidP="00C953A7">
            <w:pPr>
              <w:jc w:val="center"/>
              <w:rPr>
                <w:rFonts w:cstheme="minorHAnsi"/>
              </w:rPr>
            </w:pPr>
            <w:r w:rsidRPr="003C738A">
              <w:rPr>
                <w:rFonts w:cstheme="minorHAnsi"/>
              </w:rPr>
              <w:t>Type of place of residence</w:t>
            </w:r>
          </w:p>
        </w:tc>
        <w:tc>
          <w:tcPr>
            <w:tcW w:w="2625" w:type="dxa"/>
            <w:tcBorders>
              <w:top w:val="single" w:sz="4" w:space="0" w:color="auto"/>
              <w:left w:val="single" w:sz="4" w:space="0" w:color="auto"/>
              <w:bottom w:val="single" w:sz="4" w:space="0" w:color="auto"/>
              <w:right w:val="single" w:sz="4" w:space="0" w:color="auto"/>
            </w:tcBorders>
            <w:vAlign w:val="center"/>
            <w:hideMark/>
          </w:tcPr>
          <w:p w14:paraId="222C3EB5" w14:textId="77777777" w:rsidR="00E36D06" w:rsidRPr="003C738A" w:rsidRDefault="00E36D06" w:rsidP="00C953A7">
            <w:pPr>
              <w:jc w:val="center"/>
              <w:rPr>
                <w:rFonts w:cstheme="minorHAnsi"/>
                <w:sz w:val="18"/>
                <w:szCs w:val="18"/>
              </w:rPr>
            </w:pPr>
            <w:r w:rsidRPr="003C738A">
              <w:rPr>
                <w:rFonts w:cstheme="minorHAnsi"/>
                <w:sz w:val="18"/>
                <w:szCs w:val="18"/>
              </w:rPr>
              <w:t>Urban</w:t>
            </w:r>
          </w:p>
        </w:tc>
        <w:tc>
          <w:tcPr>
            <w:tcW w:w="1618" w:type="dxa"/>
            <w:tcBorders>
              <w:top w:val="single" w:sz="4" w:space="0" w:color="auto"/>
              <w:left w:val="single" w:sz="4" w:space="0" w:color="auto"/>
              <w:bottom w:val="single" w:sz="4" w:space="0" w:color="auto"/>
              <w:right w:val="single" w:sz="4" w:space="0" w:color="auto"/>
            </w:tcBorders>
            <w:vAlign w:val="center"/>
          </w:tcPr>
          <w:p w14:paraId="166E78B4" w14:textId="77777777" w:rsidR="00E36D06" w:rsidRPr="003C738A" w:rsidRDefault="00E36D06" w:rsidP="00C953A7">
            <w:pPr>
              <w:jc w:val="center"/>
              <w:rPr>
                <w:rFonts w:cstheme="minorHAnsi"/>
                <w:sz w:val="18"/>
                <w:szCs w:val="18"/>
              </w:rPr>
            </w:pPr>
            <w:r w:rsidRPr="003C738A">
              <w:rPr>
                <w:rFonts w:cstheme="minorHAnsi"/>
                <w:sz w:val="18"/>
                <w:szCs w:val="18"/>
              </w:rPr>
              <w:t>216.9(64.23)</w:t>
            </w:r>
          </w:p>
        </w:tc>
        <w:tc>
          <w:tcPr>
            <w:tcW w:w="1618" w:type="dxa"/>
            <w:tcBorders>
              <w:top w:val="single" w:sz="4" w:space="0" w:color="auto"/>
              <w:left w:val="single" w:sz="4" w:space="0" w:color="auto"/>
              <w:bottom w:val="single" w:sz="4" w:space="0" w:color="auto"/>
              <w:right w:val="single" w:sz="4" w:space="0" w:color="auto"/>
            </w:tcBorders>
            <w:vAlign w:val="center"/>
          </w:tcPr>
          <w:p w14:paraId="271947CA" w14:textId="77777777" w:rsidR="00E36D06" w:rsidRPr="003C738A" w:rsidRDefault="00E36D06" w:rsidP="00C953A7">
            <w:pPr>
              <w:jc w:val="center"/>
              <w:rPr>
                <w:rFonts w:cstheme="minorHAnsi"/>
                <w:sz w:val="18"/>
                <w:szCs w:val="18"/>
              </w:rPr>
            </w:pPr>
            <w:r w:rsidRPr="003C738A">
              <w:rPr>
                <w:rFonts w:cstheme="minorHAnsi"/>
                <w:sz w:val="18"/>
                <w:szCs w:val="18"/>
              </w:rPr>
              <w:t>120.8(35.77)</w:t>
            </w:r>
          </w:p>
        </w:tc>
        <w:tc>
          <w:tcPr>
            <w:tcW w:w="1619" w:type="dxa"/>
            <w:vMerge w:val="restart"/>
            <w:tcBorders>
              <w:top w:val="single" w:sz="4" w:space="0" w:color="auto"/>
              <w:left w:val="single" w:sz="4" w:space="0" w:color="auto"/>
              <w:right w:val="single" w:sz="4" w:space="0" w:color="auto"/>
            </w:tcBorders>
            <w:vAlign w:val="center"/>
          </w:tcPr>
          <w:p w14:paraId="0FE3E548" w14:textId="77777777" w:rsidR="00E36D06" w:rsidRPr="003C738A" w:rsidRDefault="00E36D06" w:rsidP="00C953A7">
            <w:pPr>
              <w:jc w:val="center"/>
              <w:rPr>
                <w:rFonts w:cstheme="minorHAnsi"/>
                <w:sz w:val="18"/>
                <w:szCs w:val="18"/>
              </w:rPr>
            </w:pPr>
            <w:r w:rsidRPr="003C738A">
              <w:rPr>
                <w:rFonts w:cstheme="minorHAnsi"/>
                <w:sz w:val="18"/>
                <w:szCs w:val="18"/>
              </w:rPr>
              <w:t>0.6145</w:t>
            </w:r>
          </w:p>
        </w:tc>
      </w:tr>
      <w:tr w:rsidR="00E36D06" w:rsidRPr="003C738A" w14:paraId="1ED062BE"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03133BD9"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13EBA955" w14:textId="77777777" w:rsidR="00E36D06" w:rsidRPr="003C738A" w:rsidRDefault="00E36D06" w:rsidP="00C953A7">
            <w:pPr>
              <w:jc w:val="center"/>
              <w:rPr>
                <w:rFonts w:cstheme="minorHAnsi"/>
                <w:sz w:val="18"/>
                <w:szCs w:val="18"/>
              </w:rPr>
            </w:pPr>
            <w:r w:rsidRPr="003C738A">
              <w:rPr>
                <w:rFonts w:cstheme="minorHAnsi"/>
                <w:sz w:val="18"/>
                <w:szCs w:val="18"/>
              </w:rPr>
              <w:t>Rural</w:t>
            </w:r>
          </w:p>
        </w:tc>
        <w:tc>
          <w:tcPr>
            <w:tcW w:w="1618" w:type="dxa"/>
            <w:tcBorders>
              <w:top w:val="single" w:sz="4" w:space="0" w:color="auto"/>
              <w:left w:val="single" w:sz="4" w:space="0" w:color="auto"/>
              <w:bottom w:val="single" w:sz="4" w:space="0" w:color="auto"/>
              <w:right w:val="single" w:sz="4" w:space="0" w:color="auto"/>
            </w:tcBorders>
            <w:vAlign w:val="center"/>
          </w:tcPr>
          <w:p w14:paraId="52CBEFE1" w14:textId="77777777" w:rsidR="00E36D06" w:rsidRPr="003C738A" w:rsidRDefault="00E36D06" w:rsidP="00C953A7">
            <w:pPr>
              <w:jc w:val="center"/>
              <w:rPr>
                <w:rFonts w:cstheme="minorHAnsi"/>
                <w:sz w:val="18"/>
                <w:szCs w:val="18"/>
              </w:rPr>
            </w:pPr>
            <w:r w:rsidRPr="003C738A">
              <w:rPr>
                <w:rFonts w:cstheme="minorHAnsi"/>
                <w:sz w:val="18"/>
                <w:szCs w:val="18"/>
              </w:rPr>
              <w:t>785.3(65.98)</w:t>
            </w:r>
          </w:p>
        </w:tc>
        <w:tc>
          <w:tcPr>
            <w:tcW w:w="1618" w:type="dxa"/>
            <w:tcBorders>
              <w:top w:val="single" w:sz="4" w:space="0" w:color="auto"/>
              <w:left w:val="single" w:sz="4" w:space="0" w:color="auto"/>
              <w:bottom w:val="single" w:sz="4" w:space="0" w:color="auto"/>
              <w:right w:val="single" w:sz="4" w:space="0" w:color="auto"/>
            </w:tcBorders>
            <w:vAlign w:val="center"/>
          </w:tcPr>
          <w:p w14:paraId="74BE7EF3" w14:textId="77777777" w:rsidR="00E36D06" w:rsidRPr="003C738A" w:rsidRDefault="00E36D06" w:rsidP="00C953A7">
            <w:pPr>
              <w:jc w:val="center"/>
              <w:rPr>
                <w:rFonts w:cstheme="minorHAnsi"/>
                <w:sz w:val="18"/>
                <w:szCs w:val="18"/>
              </w:rPr>
            </w:pPr>
            <w:r w:rsidRPr="003C738A">
              <w:rPr>
                <w:rFonts w:cstheme="minorHAnsi"/>
                <w:sz w:val="18"/>
                <w:szCs w:val="18"/>
              </w:rPr>
              <w:t>404.9(34.02)</w:t>
            </w:r>
          </w:p>
        </w:tc>
        <w:tc>
          <w:tcPr>
            <w:tcW w:w="1619" w:type="dxa"/>
            <w:vMerge/>
            <w:tcBorders>
              <w:left w:val="single" w:sz="4" w:space="0" w:color="auto"/>
              <w:bottom w:val="single" w:sz="4" w:space="0" w:color="auto"/>
              <w:right w:val="single" w:sz="4" w:space="0" w:color="auto"/>
            </w:tcBorders>
            <w:vAlign w:val="center"/>
          </w:tcPr>
          <w:p w14:paraId="4B1925EA" w14:textId="77777777" w:rsidR="00E36D06" w:rsidRPr="003C738A" w:rsidRDefault="00E36D06" w:rsidP="00C953A7">
            <w:pPr>
              <w:jc w:val="center"/>
              <w:rPr>
                <w:rFonts w:cstheme="minorHAnsi"/>
                <w:sz w:val="18"/>
                <w:szCs w:val="18"/>
              </w:rPr>
            </w:pPr>
          </w:p>
        </w:tc>
      </w:tr>
      <w:tr w:rsidR="00E36D06" w:rsidRPr="003C738A" w14:paraId="57FE5EA5" w14:textId="77777777" w:rsidTr="00C953A7">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3B68D99B" w14:textId="77777777" w:rsidR="00E36D06" w:rsidRPr="003C738A" w:rsidRDefault="00E36D06" w:rsidP="00C953A7">
            <w:pPr>
              <w:jc w:val="center"/>
              <w:rPr>
                <w:rFonts w:cstheme="minorHAnsi"/>
              </w:rPr>
            </w:pPr>
            <w:r w:rsidRPr="003C738A">
              <w:rPr>
                <w:rFonts w:cstheme="minorHAnsi"/>
              </w:rPr>
              <w:t>Highest educational level</w:t>
            </w:r>
          </w:p>
        </w:tc>
        <w:tc>
          <w:tcPr>
            <w:tcW w:w="2625" w:type="dxa"/>
            <w:tcBorders>
              <w:top w:val="single" w:sz="4" w:space="0" w:color="auto"/>
              <w:left w:val="single" w:sz="4" w:space="0" w:color="auto"/>
              <w:bottom w:val="single" w:sz="4" w:space="0" w:color="auto"/>
              <w:right w:val="single" w:sz="4" w:space="0" w:color="auto"/>
            </w:tcBorders>
            <w:vAlign w:val="center"/>
            <w:hideMark/>
          </w:tcPr>
          <w:p w14:paraId="4070ED32" w14:textId="77777777" w:rsidR="00E36D06" w:rsidRPr="003C738A" w:rsidRDefault="00E36D06" w:rsidP="00C953A7">
            <w:pPr>
              <w:jc w:val="center"/>
              <w:rPr>
                <w:rFonts w:cstheme="minorHAnsi"/>
                <w:sz w:val="18"/>
                <w:szCs w:val="18"/>
              </w:rPr>
            </w:pPr>
            <w:r w:rsidRPr="003C738A">
              <w:rPr>
                <w:rFonts w:cstheme="minorHAnsi"/>
                <w:sz w:val="18"/>
                <w:szCs w:val="18"/>
              </w:rPr>
              <w:t>No education</w:t>
            </w:r>
          </w:p>
        </w:tc>
        <w:tc>
          <w:tcPr>
            <w:tcW w:w="1618" w:type="dxa"/>
            <w:tcBorders>
              <w:top w:val="single" w:sz="4" w:space="0" w:color="auto"/>
              <w:left w:val="single" w:sz="4" w:space="0" w:color="auto"/>
              <w:bottom w:val="single" w:sz="4" w:space="0" w:color="auto"/>
              <w:right w:val="single" w:sz="4" w:space="0" w:color="auto"/>
            </w:tcBorders>
            <w:vAlign w:val="center"/>
          </w:tcPr>
          <w:p w14:paraId="4748617E" w14:textId="77777777" w:rsidR="00E36D06" w:rsidRPr="003C738A" w:rsidRDefault="00E36D06" w:rsidP="00C953A7">
            <w:pPr>
              <w:jc w:val="center"/>
              <w:rPr>
                <w:rFonts w:cstheme="minorHAnsi"/>
                <w:sz w:val="18"/>
                <w:szCs w:val="18"/>
              </w:rPr>
            </w:pPr>
            <w:r w:rsidRPr="003C738A">
              <w:rPr>
                <w:rFonts w:cstheme="minorHAnsi"/>
                <w:sz w:val="18"/>
                <w:szCs w:val="18"/>
              </w:rPr>
              <w:t>108.2(72.21)</w:t>
            </w:r>
          </w:p>
        </w:tc>
        <w:tc>
          <w:tcPr>
            <w:tcW w:w="1618" w:type="dxa"/>
            <w:tcBorders>
              <w:top w:val="single" w:sz="4" w:space="0" w:color="auto"/>
              <w:left w:val="single" w:sz="4" w:space="0" w:color="auto"/>
              <w:bottom w:val="single" w:sz="4" w:space="0" w:color="auto"/>
              <w:right w:val="single" w:sz="4" w:space="0" w:color="auto"/>
            </w:tcBorders>
            <w:vAlign w:val="center"/>
          </w:tcPr>
          <w:p w14:paraId="3ED0FFCE" w14:textId="77777777" w:rsidR="00E36D06" w:rsidRPr="003C738A" w:rsidRDefault="00E36D06" w:rsidP="00C953A7">
            <w:pPr>
              <w:jc w:val="center"/>
              <w:rPr>
                <w:rFonts w:cstheme="minorHAnsi"/>
                <w:sz w:val="18"/>
                <w:szCs w:val="18"/>
              </w:rPr>
            </w:pPr>
            <w:r w:rsidRPr="003C738A">
              <w:rPr>
                <w:rFonts w:cstheme="minorHAnsi"/>
                <w:sz w:val="18"/>
                <w:szCs w:val="18"/>
              </w:rPr>
              <w:t>41.65(27.79)</w:t>
            </w:r>
          </w:p>
        </w:tc>
        <w:tc>
          <w:tcPr>
            <w:tcW w:w="1619" w:type="dxa"/>
            <w:vMerge w:val="restart"/>
            <w:tcBorders>
              <w:top w:val="single" w:sz="4" w:space="0" w:color="auto"/>
              <w:left w:val="single" w:sz="4" w:space="0" w:color="auto"/>
              <w:right w:val="single" w:sz="4" w:space="0" w:color="auto"/>
            </w:tcBorders>
            <w:vAlign w:val="center"/>
          </w:tcPr>
          <w:p w14:paraId="72F2644A" w14:textId="77777777" w:rsidR="00E36D06" w:rsidRPr="003C738A" w:rsidRDefault="00E36D06" w:rsidP="00C953A7">
            <w:pPr>
              <w:jc w:val="center"/>
              <w:rPr>
                <w:rFonts w:cstheme="minorHAnsi"/>
                <w:b/>
                <w:bCs/>
                <w:sz w:val="18"/>
                <w:szCs w:val="18"/>
              </w:rPr>
            </w:pPr>
            <w:r w:rsidRPr="003C738A">
              <w:rPr>
                <w:rFonts w:cstheme="minorHAnsi"/>
                <w:b/>
                <w:bCs/>
                <w:sz w:val="18"/>
                <w:szCs w:val="18"/>
              </w:rPr>
              <w:t>0.0022</w:t>
            </w:r>
          </w:p>
        </w:tc>
      </w:tr>
      <w:tr w:rsidR="00E36D06" w:rsidRPr="003C738A" w14:paraId="1E0D06AA"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5481D235"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136A152C" w14:textId="77777777" w:rsidR="00E36D06" w:rsidRPr="003C738A" w:rsidRDefault="00E36D06" w:rsidP="00C953A7">
            <w:pPr>
              <w:jc w:val="center"/>
              <w:rPr>
                <w:rFonts w:cstheme="minorHAnsi"/>
                <w:sz w:val="18"/>
                <w:szCs w:val="18"/>
              </w:rPr>
            </w:pPr>
            <w:r w:rsidRPr="003C738A">
              <w:rPr>
                <w:rFonts w:cstheme="minorHAnsi"/>
                <w:sz w:val="18"/>
                <w:szCs w:val="18"/>
              </w:rPr>
              <w:t>Primary</w:t>
            </w:r>
          </w:p>
        </w:tc>
        <w:tc>
          <w:tcPr>
            <w:tcW w:w="1618" w:type="dxa"/>
            <w:tcBorders>
              <w:top w:val="single" w:sz="4" w:space="0" w:color="auto"/>
              <w:left w:val="single" w:sz="4" w:space="0" w:color="auto"/>
              <w:bottom w:val="single" w:sz="4" w:space="0" w:color="auto"/>
              <w:right w:val="single" w:sz="4" w:space="0" w:color="auto"/>
            </w:tcBorders>
            <w:vAlign w:val="center"/>
          </w:tcPr>
          <w:p w14:paraId="67BAEB42" w14:textId="77777777" w:rsidR="00E36D06" w:rsidRPr="003C738A" w:rsidRDefault="00E36D06" w:rsidP="00C953A7">
            <w:pPr>
              <w:jc w:val="center"/>
              <w:rPr>
                <w:rFonts w:cstheme="minorHAnsi"/>
                <w:sz w:val="18"/>
                <w:szCs w:val="18"/>
              </w:rPr>
            </w:pPr>
            <w:r w:rsidRPr="003C738A">
              <w:rPr>
                <w:rFonts w:cstheme="minorHAnsi"/>
                <w:sz w:val="18"/>
                <w:szCs w:val="18"/>
              </w:rPr>
              <w:t>373(71.28)</w:t>
            </w:r>
          </w:p>
        </w:tc>
        <w:tc>
          <w:tcPr>
            <w:tcW w:w="1618" w:type="dxa"/>
            <w:tcBorders>
              <w:top w:val="single" w:sz="4" w:space="0" w:color="auto"/>
              <w:left w:val="single" w:sz="4" w:space="0" w:color="auto"/>
              <w:bottom w:val="single" w:sz="4" w:space="0" w:color="auto"/>
              <w:right w:val="single" w:sz="4" w:space="0" w:color="auto"/>
            </w:tcBorders>
            <w:vAlign w:val="center"/>
          </w:tcPr>
          <w:p w14:paraId="08E03E9D" w14:textId="77777777" w:rsidR="00E36D06" w:rsidRPr="003C738A" w:rsidRDefault="00E36D06" w:rsidP="00C953A7">
            <w:pPr>
              <w:jc w:val="center"/>
              <w:rPr>
                <w:rFonts w:cstheme="minorHAnsi"/>
                <w:sz w:val="18"/>
                <w:szCs w:val="18"/>
              </w:rPr>
            </w:pPr>
            <w:r w:rsidRPr="003C738A">
              <w:rPr>
                <w:rFonts w:cstheme="minorHAnsi"/>
                <w:sz w:val="18"/>
                <w:szCs w:val="18"/>
              </w:rPr>
              <w:t>150.3(28.72)</w:t>
            </w:r>
          </w:p>
        </w:tc>
        <w:tc>
          <w:tcPr>
            <w:tcW w:w="1619" w:type="dxa"/>
            <w:vMerge/>
            <w:tcBorders>
              <w:left w:val="single" w:sz="4" w:space="0" w:color="auto"/>
              <w:right w:val="single" w:sz="4" w:space="0" w:color="auto"/>
            </w:tcBorders>
            <w:vAlign w:val="center"/>
          </w:tcPr>
          <w:p w14:paraId="1DCEB546" w14:textId="77777777" w:rsidR="00E36D06" w:rsidRPr="003C738A" w:rsidRDefault="00E36D06" w:rsidP="00C953A7">
            <w:pPr>
              <w:jc w:val="center"/>
              <w:rPr>
                <w:rFonts w:cstheme="minorHAnsi"/>
                <w:sz w:val="18"/>
                <w:szCs w:val="18"/>
              </w:rPr>
            </w:pPr>
          </w:p>
        </w:tc>
      </w:tr>
      <w:tr w:rsidR="00E36D06" w:rsidRPr="003C738A" w14:paraId="6137B32A"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74C55F20"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52DF57BE" w14:textId="77777777" w:rsidR="00E36D06" w:rsidRPr="003C738A" w:rsidRDefault="00E36D06" w:rsidP="00C953A7">
            <w:pPr>
              <w:jc w:val="center"/>
              <w:rPr>
                <w:rFonts w:cstheme="minorHAnsi"/>
                <w:sz w:val="18"/>
                <w:szCs w:val="18"/>
              </w:rPr>
            </w:pPr>
            <w:r w:rsidRPr="003C738A">
              <w:rPr>
                <w:rFonts w:cstheme="minorHAnsi"/>
                <w:sz w:val="18"/>
                <w:szCs w:val="18"/>
              </w:rPr>
              <w:t>Secondary</w:t>
            </w:r>
          </w:p>
        </w:tc>
        <w:tc>
          <w:tcPr>
            <w:tcW w:w="1618" w:type="dxa"/>
            <w:tcBorders>
              <w:top w:val="single" w:sz="4" w:space="0" w:color="auto"/>
              <w:left w:val="single" w:sz="4" w:space="0" w:color="auto"/>
              <w:bottom w:val="single" w:sz="4" w:space="0" w:color="auto"/>
              <w:right w:val="single" w:sz="4" w:space="0" w:color="auto"/>
            </w:tcBorders>
            <w:vAlign w:val="center"/>
          </w:tcPr>
          <w:p w14:paraId="5D35FD72" w14:textId="77777777" w:rsidR="00E36D06" w:rsidRPr="003C738A" w:rsidRDefault="00E36D06" w:rsidP="00C953A7">
            <w:pPr>
              <w:jc w:val="center"/>
              <w:rPr>
                <w:rFonts w:cstheme="minorHAnsi"/>
                <w:sz w:val="18"/>
                <w:szCs w:val="18"/>
              </w:rPr>
            </w:pPr>
            <w:r w:rsidRPr="003C738A">
              <w:rPr>
                <w:rFonts w:cstheme="minorHAnsi"/>
                <w:sz w:val="18"/>
                <w:szCs w:val="18"/>
              </w:rPr>
              <w:t>448.6(62.23)</w:t>
            </w:r>
          </w:p>
        </w:tc>
        <w:tc>
          <w:tcPr>
            <w:tcW w:w="1618" w:type="dxa"/>
            <w:tcBorders>
              <w:top w:val="single" w:sz="4" w:space="0" w:color="auto"/>
              <w:left w:val="single" w:sz="4" w:space="0" w:color="auto"/>
              <w:bottom w:val="single" w:sz="4" w:space="0" w:color="auto"/>
              <w:right w:val="single" w:sz="4" w:space="0" w:color="auto"/>
            </w:tcBorders>
            <w:vAlign w:val="center"/>
          </w:tcPr>
          <w:p w14:paraId="7B48EE0E" w14:textId="77777777" w:rsidR="00E36D06" w:rsidRPr="003C738A" w:rsidRDefault="00E36D06" w:rsidP="00C953A7">
            <w:pPr>
              <w:jc w:val="center"/>
              <w:rPr>
                <w:rFonts w:cstheme="minorHAnsi"/>
                <w:sz w:val="18"/>
                <w:szCs w:val="18"/>
              </w:rPr>
            </w:pPr>
            <w:r w:rsidRPr="003C738A">
              <w:rPr>
                <w:rFonts w:cstheme="minorHAnsi"/>
                <w:sz w:val="18"/>
                <w:szCs w:val="18"/>
              </w:rPr>
              <w:t>272.3(37.77)</w:t>
            </w:r>
          </w:p>
        </w:tc>
        <w:tc>
          <w:tcPr>
            <w:tcW w:w="1619" w:type="dxa"/>
            <w:vMerge/>
            <w:tcBorders>
              <w:left w:val="single" w:sz="4" w:space="0" w:color="auto"/>
              <w:right w:val="single" w:sz="4" w:space="0" w:color="auto"/>
            </w:tcBorders>
            <w:vAlign w:val="center"/>
          </w:tcPr>
          <w:p w14:paraId="37E181A7" w14:textId="77777777" w:rsidR="00E36D06" w:rsidRPr="003C738A" w:rsidRDefault="00E36D06" w:rsidP="00C953A7">
            <w:pPr>
              <w:jc w:val="center"/>
              <w:rPr>
                <w:rFonts w:cstheme="minorHAnsi"/>
                <w:sz w:val="18"/>
                <w:szCs w:val="18"/>
              </w:rPr>
            </w:pPr>
          </w:p>
        </w:tc>
      </w:tr>
      <w:tr w:rsidR="00E36D06" w:rsidRPr="003C738A" w14:paraId="279894A1"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30E147BF"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4D8A3D08" w14:textId="77777777" w:rsidR="00E36D06" w:rsidRPr="003C738A" w:rsidRDefault="00E36D06" w:rsidP="00C953A7">
            <w:pPr>
              <w:jc w:val="center"/>
              <w:rPr>
                <w:rFonts w:cstheme="minorHAnsi"/>
                <w:sz w:val="18"/>
                <w:szCs w:val="18"/>
              </w:rPr>
            </w:pPr>
            <w:r w:rsidRPr="003C738A">
              <w:rPr>
                <w:rFonts w:cstheme="minorHAnsi"/>
                <w:sz w:val="18"/>
                <w:szCs w:val="18"/>
              </w:rPr>
              <w:t>Higher</w:t>
            </w:r>
          </w:p>
        </w:tc>
        <w:tc>
          <w:tcPr>
            <w:tcW w:w="1618" w:type="dxa"/>
            <w:tcBorders>
              <w:top w:val="single" w:sz="4" w:space="0" w:color="auto"/>
              <w:left w:val="single" w:sz="4" w:space="0" w:color="auto"/>
              <w:bottom w:val="single" w:sz="4" w:space="0" w:color="auto"/>
              <w:right w:val="single" w:sz="4" w:space="0" w:color="auto"/>
            </w:tcBorders>
            <w:vAlign w:val="center"/>
          </w:tcPr>
          <w:p w14:paraId="4B544328" w14:textId="77777777" w:rsidR="00E36D06" w:rsidRPr="003C738A" w:rsidRDefault="00E36D06" w:rsidP="00C953A7">
            <w:pPr>
              <w:jc w:val="center"/>
              <w:rPr>
                <w:rFonts w:cstheme="minorHAnsi"/>
                <w:sz w:val="18"/>
                <w:szCs w:val="18"/>
              </w:rPr>
            </w:pPr>
            <w:r w:rsidRPr="003C738A">
              <w:rPr>
                <w:rFonts w:cstheme="minorHAnsi"/>
                <w:sz w:val="18"/>
                <w:szCs w:val="18"/>
              </w:rPr>
              <w:t>61.84(51.39)</w:t>
            </w:r>
          </w:p>
        </w:tc>
        <w:tc>
          <w:tcPr>
            <w:tcW w:w="1618" w:type="dxa"/>
            <w:tcBorders>
              <w:top w:val="single" w:sz="4" w:space="0" w:color="auto"/>
              <w:left w:val="single" w:sz="4" w:space="0" w:color="auto"/>
              <w:bottom w:val="single" w:sz="4" w:space="0" w:color="auto"/>
              <w:right w:val="single" w:sz="4" w:space="0" w:color="auto"/>
            </w:tcBorders>
            <w:vAlign w:val="center"/>
          </w:tcPr>
          <w:p w14:paraId="7AA13AE8" w14:textId="77777777" w:rsidR="00E36D06" w:rsidRPr="003C738A" w:rsidRDefault="00E36D06" w:rsidP="00C953A7">
            <w:pPr>
              <w:jc w:val="center"/>
              <w:rPr>
                <w:rFonts w:cstheme="minorHAnsi"/>
                <w:sz w:val="18"/>
                <w:szCs w:val="18"/>
              </w:rPr>
            </w:pPr>
            <w:r w:rsidRPr="003C738A">
              <w:rPr>
                <w:rFonts w:cstheme="minorHAnsi"/>
                <w:sz w:val="18"/>
                <w:szCs w:val="18"/>
              </w:rPr>
              <w:t>58.51(48.61)</w:t>
            </w:r>
          </w:p>
        </w:tc>
        <w:tc>
          <w:tcPr>
            <w:tcW w:w="1619" w:type="dxa"/>
            <w:vMerge/>
            <w:tcBorders>
              <w:left w:val="single" w:sz="4" w:space="0" w:color="auto"/>
              <w:bottom w:val="single" w:sz="4" w:space="0" w:color="auto"/>
              <w:right w:val="single" w:sz="4" w:space="0" w:color="auto"/>
            </w:tcBorders>
            <w:vAlign w:val="center"/>
          </w:tcPr>
          <w:p w14:paraId="165DCD45" w14:textId="77777777" w:rsidR="00E36D06" w:rsidRPr="003C738A" w:rsidRDefault="00E36D06" w:rsidP="00C953A7">
            <w:pPr>
              <w:jc w:val="center"/>
              <w:rPr>
                <w:rFonts w:cstheme="minorHAnsi"/>
                <w:sz w:val="18"/>
                <w:szCs w:val="18"/>
              </w:rPr>
            </w:pPr>
          </w:p>
        </w:tc>
      </w:tr>
      <w:tr w:rsidR="00E36D06" w:rsidRPr="003C738A" w14:paraId="2E4AF430" w14:textId="77777777" w:rsidTr="00C953A7">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238A9FAF" w14:textId="77777777" w:rsidR="00E36D06" w:rsidRPr="003C738A" w:rsidRDefault="00E36D06" w:rsidP="00C953A7">
            <w:pPr>
              <w:jc w:val="center"/>
              <w:rPr>
                <w:rFonts w:cstheme="minorHAnsi"/>
              </w:rPr>
            </w:pPr>
            <w:r w:rsidRPr="003C738A">
              <w:rPr>
                <w:rFonts w:cstheme="minorHAnsi"/>
              </w:rPr>
              <w:t>Number of children under 5 in the household</w:t>
            </w:r>
          </w:p>
        </w:tc>
        <w:tc>
          <w:tcPr>
            <w:tcW w:w="2625" w:type="dxa"/>
            <w:tcBorders>
              <w:top w:val="single" w:sz="4" w:space="0" w:color="auto"/>
              <w:left w:val="single" w:sz="4" w:space="0" w:color="auto"/>
              <w:bottom w:val="single" w:sz="4" w:space="0" w:color="auto"/>
              <w:right w:val="single" w:sz="4" w:space="0" w:color="auto"/>
            </w:tcBorders>
            <w:vAlign w:val="center"/>
            <w:hideMark/>
          </w:tcPr>
          <w:p w14:paraId="181CC316" w14:textId="77777777" w:rsidR="00E36D06" w:rsidRPr="003C738A" w:rsidRDefault="00E36D06" w:rsidP="00C953A7">
            <w:pPr>
              <w:jc w:val="center"/>
              <w:rPr>
                <w:rFonts w:cstheme="minorHAnsi"/>
                <w:sz w:val="18"/>
                <w:szCs w:val="18"/>
              </w:rPr>
            </w:pPr>
            <w:r w:rsidRPr="003C738A">
              <w:rPr>
                <w:rFonts w:cstheme="minorHAnsi"/>
                <w:sz w:val="18"/>
                <w:szCs w:val="18"/>
              </w:rPr>
              <w:t>One</w:t>
            </w:r>
          </w:p>
        </w:tc>
        <w:tc>
          <w:tcPr>
            <w:tcW w:w="1618" w:type="dxa"/>
            <w:tcBorders>
              <w:top w:val="single" w:sz="4" w:space="0" w:color="auto"/>
              <w:left w:val="single" w:sz="4" w:space="0" w:color="auto"/>
              <w:bottom w:val="single" w:sz="4" w:space="0" w:color="auto"/>
              <w:right w:val="single" w:sz="4" w:space="0" w:color="auto"/>
            </w:tcBorders>
            <w:vAlign w:val="center"/>
          </w:tcPr>
          <w:p w14:paraId="2274D38C" w14:textId="77777777" w:rsidR="00E36D06" w:rsidRPr="003C738A" w:rsidRDefault="00E36D06" w:rsidP="00C953A7">
            <w:pPr>
              <w:jc w:val="center"/>
              <w:rPr>
                <w:rFonts w:cstheme="minorHAnsi"/>
                <w:sz w:val="18"/>
                <w:szCs w:val="18"/>
              </w:rPr>
            </w:pPr>
            <w:r w:rsidRPr="003C738A">
              <w:rPr>
                <w:rFonts w:cstheme="minorHAnsi"/>
                <w:sz w:val="18"/>
                <w:szCs w:val="18"/>
              </w:rPr>
              <w:t>661.1(65.2)</w:t>
            </w:r>
          </w:p>
        </w:tc>
        <w:tc>
          <w:tcPr>
            <w:tcW w:w="1618" w:type="dxa"/>
            <w:tcBorders>
              <w:top w:val="single" w:sz="4" w:space="0" w:color="auto"/>
              <w:left w:val="single" w:sz="4" w:space="0" w:color="auto"/>
              <w:bottom w:val="single" w:sz="4" w:space="0" w:color="auto"/>
              <w:right w:val="single" w:sz="4" w:space="0" w:color="auto"/>
            </w:tcBorders>
            <w:vAlign w:val="center"/>
          </w:tcPr>
          <w:p w14:paraId="76E4704E" w14:textId="77777777" w:rsidR="00E36D06" w:rsidRPr="003C738A" w:rsidRDefault="00E36D06" w:rsidP="00C953A7">
            <w:pPr>
              <w:jc w:val="center"/>
              <w:rPr>
                <w:rFonts w:cstheme="minorHAnsi"/>
                <w:sz w:val="18"/>
                <w:szCs w:val="18"/>
              </w:rPr>
            </w:pPr>
            <w:r w:rsidRPr="003C738A">
              <w:rPr>
                <w:rFonts w:cstheme="minorHAnsi"/>
                <w:sz w:val="18"/>
                <w:szCs w:val="18"/>
              </w:rPr>
              <w:t>352.8(34.8)</w:t>
            </w:r>
          </w:p>
        </w:tc>
        <w:tc>
          <w:tcPr>
            <w:tcW w:w="1619" w:type="dxa"/>
            <w:vMerge w:val="restart"/>
            <w:tcBorders>
              <w:top w:val="single" w:sz="4" w:space="0" w:color="auto"/>
              <w:left w:val="single" w:sz="4" w:space="0" w:color="auto"/>
              <w:right w:val="single" w:sz="4" w:space="0" w:color="auto"/>
            </w:tcBorders>
            <w:vAlign w:val="center"/>
          </w:tcPr>
          <w:p w14:paraId="34B5675C" w14:textId="77777777" w:rsidR="00E36D06" w:rsidRPr="003C738A" w:rsidRDefault="00E36D06" w:rsidP="00C953A7">
            <w:pPr>
              <w:jc w:val="center"/>
              <w:rPr>
                <w:rFonts w:cstheme="minorHAnsi"/>
                <w:sz w:val="18"/>
                <w:szCs w:val="18"/>
              </w:rPr>
            </w:pPr>
            <w:r w:rsidRPr="003C738A">
              <w:rPr>
                <w:rFonts w:cstheme="minorHAnsi"/>
                <w:sz w:val="18"/>
                <w:szCs w:val="18"/>
              </w:rPr>
              <w:t>0.9042</w:t>
            </w:r>
          </w:p>
        </w:tc>
      </w:tr>
      <w:tr w:rsidR="00E36D06" w:rsidRPr="003C738A" w14:paraId="2957A70A"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0C869F05"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238F4488" w14:textId="77777777" w:rsidR="00E36D06" w:rsidRPr="003C738A" w:rsidRDefault="00E36D06" w:rsidP="00C953A7">
            <w:pPr>
              <w:jc w:val="center"/>
              <w:rPr>
                <w:rFonts w:cstheme="minorHAnsi"/>
                <w:sz w:val="18"/>
                <w:szCs w:val="18"/>
              </w:rPr>
            </w:pPr>
            <w:r w:rsidRPr="003C738A">
              <w:rPr>
                <w:rFonts w:cstheme="minorHAnsi"/>
                <w:sz w:val="18"/>
                <w:szCs w:val="18"/>
              </w:rPr>
              <w:t>Two</w:t>
            </w:r>
          </w:p>
        </w:tc>
        <w:tc>
          <w:tcPr>
            <w:tcW w:w="1618" w:type="dxa"/>
            <w:tcBorders>
              <w:top w:val="single" w:sz="4" w:space="0" w:color="auto"/>
              <w:left w:val="single" w:sz="4" w:space="0" w:color="auto"/>
              <w:bottom w:val="single" w:sz="4" w:space="0" w:color="auto"/>
              <w:right w:val="single" w:sz="4" w:space="0" w:color="auto"/>
            </w:tcBorders>
            <w:vAlign w:val="center"/>
          </w:tcPr>
          <w:p w14:paraId="4A44D459" w14:textId="77777777" w:rsidR="00E36D06" w:rsidRPr="003C738A" w:rsidRDefault="00E36D06" w:rsidP="00C953A7">
            <w:pPr>
              <w:jc w:val="center"/>
              <w:rPr>
                <w:rFonts w:cstheme="minorHAnsi"/>
                <w:sz w:val="18"/>
                <w:szCs w:val="18"/>
              </w:rPr>
            </w:pPr>
            <w:r w:rsidRPr="003C738A">
              <w:rPr>
                <w:rFonts w:cstheme="minorHAnsi"/>
                <w:sz w:val="18"/>
                <w:szCs w:val="18"/>
              </w:rPr>
              <w:t>290.2(65.99)</w:t>
            </w:r>
          </w:p>
        </w:tc>
        <w:tc>
          <w:tcPr>
            <w:tcW w:w="1618" w:type="dxa"/>
            <w:tcBorders>
              <w:top w:val="single" w:sz="4" w:space="0" w:color="auto"/>
              <w:left w:val="single" w:sz="4" w:space="0" w:color="auto"/>
              <w:bottom w:val="single" w:sz="4" w:space="0" w:color="auto"/>
              <w:right w:val="single" w:sz="4" w:space="0" w:color="auto"/>
            </w:tcBorders>
            <w:vAlign w:val="center"/>
          </w:tcPr>
          <w:p w14:paraId="4D9323FC" w14:textId="77777777" w:rsidR="00E36D06" w:rsidRPr="003C738A" w:rsidRDefault="00E36D06" w:rsidP="00C953A7">
            <w:pPr>
              <w:jc w:val="center"/>
              <w:rPr>
                <w:rFonts w:cstheme="minorHAnsi"/>
                <w:sz w:val="18"/>
                <w:szCs w:val="18"/>
              </w:rPr>
            </w:pPr>
            <w:r w:rsidRPr="003C738A">
              <w:rPr>
                <w:rFonts w:cstheme="minorHAnsi"/>
                <w:sz w:val="18"/>
                <w:szCs w:val="18"/>
              </w:rPr>
              <w:t>149.6(34.01)</w:t>
            </w:r>
          </w:p>
        </w:tc>
        <w:tc>
          <w:tcPr>
            <w:tcW w:w="1619" w:type="dxa"/>
            <w:vMerge/>
            <w:tcBorders>
              <w:left w:val="single" w:sz="4" w:space="0" w:color="auto"/>
              <w:right w:val="single" w:sz="4" w:space="0" w:color="auto"/>
            </w:tcBorders>
            <w:vAlign w:val="center"/>
          </w:tcPr>
          <w:p w14:paraId="20D86998" w14:textId="77777777" w:rsidR="00E36D06" w:rsidRPr="003C738A" w:rsidRDefault="00E36D06" w:rsidP="00C953A7">
            <w:pPr>
              <w:rPr>
                <w:rFonts w:cstheme="minorHAnsi"/>
                <w:sz w:val="18"/>
                <w:szCs w:val="18"/>
              </w:rPr>
            </w:pPr>
          </w:p>
        </w:tc>
      </w:tr>
      <w:tr w:rsidR="00E36D06" w:rsidRPr="003C738A" w14:paraId="548DCFC4"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22AFF4AA"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5349E2EA" w14:textId="77777777" w:rsidR="00E36D06" w:rsidRPr="003C738A" w:rsidRDefault="00E36D06" w:rsidP="00C953A7">
            <w:pPr>
              <w:jc w:val="center"/>
              <w:rPr>
                <w:rFonts w:cstheme="minorHAnsi"/>
                <w:sz w:val="18"/>
                <w:szCs w:val="18"/>
              </w:rPr>
            </w:pPr>
            <w:r w:rsidRPr="003C738A">
              <w:rPr>
                <w:rFonts w:cstheme="minorHAnsi"/>
                <w:sz w:val="18"/>
                <w:szCs w:val="18"/>
              </w:rPr>
              <w:t>Three or more</w:t>
            </w:r>
          </w:p>
        </w:tc>
        <w:tc>
          <w:tcPr>
            <w:tcW w:w="1618" w:type="dxa"/>
            <w:tcBorders>
              <w:top w:val="single" w:sz="4" w:space="0" w:color="auto"/>
              <w:left w:val="single" w:sz="4" w:space="0" w:color="auto"/>
              <w:bottom w:val="single" w:sz="4" w:space="0" w:color="auto"/>
              <w:right w:val="single" w:sz="4" w:space="0" w:color="auto"/>
            </w:tcBorders>
            <w:vAlign w:val="center"/>
          </w:tcPr>
          <w:p w14:paraId="54931DF2" w14:textId="77777777" w:rsidR="00E36D06" w:rsidRPr="003C738A" w:rsidRDefault="00E36D06" w:rsidP="00C953A7">
            <w:pPr>
              <w:jc w:val="center"/>
              <w:rPr>
                <w:rFonts w:cstheme="minorHAnsi"/>
                <w:sz w:val="18"/>
                <w:szCs w:val="18"/>
              </w:rPr>
            </w:pPr>
            <w:r w:rsidRPr="003C738A">
              <w:rPr>
                <w:rFonts w:cstheme="minorHAnsi"/>
                <w:sz w:val="18"/>
                <w:szCs w:val="18"/>
              </w:rPr>
              <w:t>50.9(68.58)</w:t>
            </w:r>
          </w:p>
        </w:tc>
        <w:tc>
          <w:tcPr>
            <w:tcW w:w="1618" w:type="dxa"/>
            <w:tcBorders>
              <w:top w:val="single" w:sz="4" w:space="0" w:color="auto"/>
              <w:left w:val="single" w:sz="4" w:space="0" w:color="auto"/>
              <w:bottom w:val="single" w:sz="4" w:space="0" w:color="auto"/>
              <w:right w:val="single" w:sz="4" w:space="0" w:color="auto"/>
            </w:tcBorders>
            <w:vAlign w:val="center"/>
          </w:tcPr>
          <w:p w14:paraId="2AF0BF2E" w14:textId="77777777" w:rsidR="00E36D06" w:rsidRPr="003C738A" w:rsidRDefault="00E36D06" w:rsidP="00C953A7">
            <w:pPr>
              <w:jc w:val="center"/>
              <w:rPr>
                <w:rFonts w:cstheme="minorHAnsi"/>
                <w:sz w:val="18"/>
                <w:szCs w:val="18"/>
              </w:rPr>
            </w:pPr>
            <w:r w:rsidRPr="003C738A">
              <w:rPr>
                <w:rFonts w:cstheme="minorHAnsi"/>
                <w:sz w:val="18"/>
                <w:szCs w:val="18"/>
              </w:rPr>
              <w:t>23.32(31.42)</w:t>
            </w:r>
          </w:p>
        </w:tc>
        <w:tc>
          <w:tcPr>
            <w:tcW w:w="1619" w:type="dxa"/>
            <w:vMerge/>
            <w:tcBorders>
              <w:left w:val="single" w:sz="4" w:space="0" w:color="auto"/>
              <w:right w:val="single" w:sz="4" w:space="0" w:color="auto"/>
            </w:tcBorders>
            <w:vAlign w:val="center"/>
          </w:tcPr>
          <w:p w14:paraId="70E3219F" w14:textId="77777777" w:rsidR="00E36D06" w:rsidRPr="003C738A" w:rsidRDefault="00E36D06" w:rsidP="00C953A7">
            <w:pPr>
              <w:rPr>
                <w:rFonts w:cstheme="minorHAnsi"/>
                <w:sz w:val="18"/>
                <w:szCs w:val="18"/>
              </w:rPr>
            </w:pPr>
          </w:p>
        </w:tc>
      </w:tr>
      <w:tr w:rsidR="00E36D06" w:rsidRPr="003C738A" w14:paraId="22E260CE" w14:textId="77777777" w:rsidTr="00C953A7">
        <w:tc>
          <w:tcPr>
            <w:tcW w:w="1870" w:type="dxa"/>
            <w:vMerge w:val="restart"/>
            <w:tcBorders>
              <w:top w:val="single" w:sz="4" w:space="0" w:color="auto"/>
              <w:left w:val="single" w:sz="4" w:space="0" w:color="auto"/>
              <w:right w:val="single" w:sz="4" w:space="0" w:color="auto"/>
            </w:tcBorders>
            <w:vAlign w:val="center"/>
          </w:tcPr>
          <w:p w14:paraId="5F68678B" w14:textId="77777777" w:rsidR="00E36D06" w:rsidRPr="003C738A" w:rsidRDefault="00E36D06" w:rsidP="00C953A7">
            <w:pPr>
              <w:jc w:val="center"/>
              <w:rPr>
                <w:rFonts w:cstheme="minorHAnsi"/>
              </w:rPr>
            </w:pPr>
            <w:r w:rsidRPr="003C738A">
              <w:rPr>
                <w:rFonts w:cstheme="minorHAnsi"/>
              </w:rPr>
              <w:t>Respondents’ occupation (grouped)</w:t>
            </w:r>
          </w:p>
        </w:tc>
        <w:tc>
          <w:tcPr>
            <w:tcW w:w="2625" w:type="dxa"/>
            <w:tcBorders>
              <w:top w:val="single" w:sz="4" w:space="0" w:color="auto"/>
              <w:left w:val="single" w:sz="4" w:space="0" w:color="auto"/>
              <w:bottom w:val="single" w:sz="4" w:space="0" w:color="auto"/>
              <w:right w:val="single" w:sz="4" w:space="0" w:color="auto"/>
            </w:tcBorders>
            <w:vAlign w:val="center"/>
          </w:tcPr>
          <w:p w14:paraId="43593B6D" w14:textId="77777777" w:rsidR="00E36D06" w:rsidRPr="003C738A" w:rsidRDefault="00E36D06" w:rsidP="00C953A7">
            <w:pPr>
              <w:jc w:val="center"/>
              <w:rPr>
                <w:rFonts w:cstheme="minorHAnsi"/>
                <w:sz w:val="18"/>
                <w:szCs w:val="18"/>
              </w:rPr>
            </w:pPr>
            <w:r w:rsidRPr="003C738A">
              <w:rPr>
                <w:rFonts w:cstheme="minorHAnsi"/>
                <w:sz w:val="18"/>
                <w:szCs w:val="18"/>
              </w:rPr>
              <w:t>Did not work</w:t>
            </w:r>
          </w:p>
        </w:tc>
        <w:tc>
          <w:tcPr>
            <w:tcW w:w="1618" w:type="dxa"/>
            <w:tcBorders>
              <w:top w:val="single" w:sz="4" w:space="0" w:color="auto"/>
              <w:left w:val="single" w:sz="4" w:space="0" w:color="auto"/>
              <w:bottom w:val="single" w:sz="4" w:space="0" w:color="auto"/>
              <w:right w:val="single" w:sz="4" w:space="0" w:color="auto"/>
            </w:tcBorders>
            <w:vAlign w:val="center"/>
          </w:tcPr>
          <w:p w14:paraId="5149AF12" w14:textId="77777777" w:rsidR="00E36D06" w:rsidRPr="003C738A" w:rsidRDefault="00E36D06" w:rsidP="00C953A7">
            <w:pPr>
              <w:jc w:val="center"/>
              <w:rPr>
                <w:rFonts w:cstheme="minorHAnsi"/>
                <w:sz w:val="18"/>
                <w:szCs w:val="18"/>
              </w:rPr>
            </w:pPr>
            <w:r w:rsidRPr="003C738A">
              <w:rPr>
                <w:rFonts w:cstheme="minorHAnsi"/>
                <w:sz w:val="18"/>
                <w:szCs w:val="18"/>
              </w:rPr>
              <w:t>533.5(65.69)</w:t>
            </w:r>
          </w:p>
        </w:tc>
        <w:tc>
          <w:tcPr>
            <w:tcW w:w="1618" w:type="dxa"/>
            <w:tcBorders>
              <w:top w:val="single" w:sz="4" w:space="0" w:color="auto"/>
              <w:left w:val="single" w:sz="4" w:space="0" w:color="auto"/>
              <w:bottom w:val="single" w:sz="4" w:space="0" w:color="auto"/>
              <w:right w:val="single" w:sz="4" w:space="0" w:color="auto"/>
            </w:tcBorders>
            <w:vAlign w:val="center"/>
          </w:tcPr>
          <w:p w14:paraId="12CE23A7" w14:textId="77777777" w:rsidR="00E36D06" w:rsidRPr="003C738A" w:rsidRDefault="00E36D06" w:rsidP="00C953A7">
            <w:pPr>
              <w:jc w:val="center"/>
              <w:rPr>
                <w:rFonts w:cstheme="minorHAnsi"/>
                <w:sz w:val="18"/>
                <w:szCs w:val="18"/>
              </w:rPr>
            </w:pPr>
            <w:r w:rsidRPr="003C738A">
              <w:rPr>
                <w:rFonts w:cstheme="minorHAnsi"/>
                <w:sz w:val="18"/>
                <w:szCs w:val="18"/>
              </w:rPr>
              <w:t>278.6(34.31)</w:t>
            </w:r>
          </w:p>
        </w:tc>
        <w:tc>
          <w:tcPr>
            <w:tcW w:w="1619" w:type="dxa"/>
            <w:vMerge w:val="restart"/>
            <w:tcBorders>
              <w:top w:val="single" w:sz="4" w:space="0" w:color="auto"/>
              <w:left w:val="single" w:sz="4" w:space="0" w:color="auto"/>
              <w:right w:val="single" w:sz="4" w:space="0" w:color="auto"/>
            </w:tcBorders>
            <w:vAlign w:val="center"/>
          </w:tcPr>
          <w:p w14:paraId="093A768B" w14:textId="77777777" w:rsidR="00E36D06" w:rsidRPr="003C738A" w:rsidRDefault="00E36D06" w:rsidP="00C953A7">
            <w:pPr>
              <w:jc w:val="center"/>
              <w:rPr>
                <w:rFonts w:cstheme="minorHAnsi"/>
                <w:sz w:val="18"/>
                <w:szCs w:val="18"/>
              </w:rPr>
            </w:pPr>
            <w:r w:rsidRPr="003C738A">
              <w:rPr>
                <w:rFonts w:cstheme="minorHAnsi"/>
                <w:sz w:val="18"/>
                <w:szCs w:val="18"/>
              </w:rPr>
              <w:t>0.2639</w:t>
            </w:r>
          </w:p>
        </w:tc>
      </w:tr>
      <w:tr w:rsidR="00E36D06" w:rsidRPr="003C738A" w14:paraId="408E82FB" w14:textId="77777777" w:rsidTr="00C953A7">
        <w:tc>
          <w:tcPr>
            <w:tcW w:w="1870" w:type="dxa"/>
            <w:vMerge/>
            <w:tcBorders>
              <w:left w:val="single" w:sz="4" w:space="0" w:color="auto"/>
              <w:right w:val="single" w:sz="4" w:space="0" w:color="auto"/>
            </w:tcBorders>
            <w:vAlign w:val="center"/>
            <w:hideMark/>
          </w:tcPr>
          <w:p w14:paraId="61A87C0D"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17ABE7ED" w14:textId="77777777" w:rsidR="00E36D06" w:rsidRPr="003C738A" w:rsidRDefault="00E36D06" w:rsidP="00C953A7">
            <w:pPr>
              <w:jc w:val="center"/>
              <w:rPr>
                <w:rFonts w:cstheme="minorHAnsi"/>
                <w:sz w:val="18"/>
                <w:szCs w:val="18"/>
              </w:rPr>
            </w:pPr>
            <w:r w:rsidRPr="003C738A">
              <w:rPr>
                <w:rFonts w:cstheme="minorHAnsi"/>
                <w:sz w:val="18"/>
                <w:szCs w:val="18"/>
              </w:rPr>
              <w:t>Agriculture</w:t>
            </w:r>
          </w:p>
        </w:tc>
        <w:tc>
          <w:tcPr>
            <w:tcW w:w="1618" w:type="dxa"/>
            <w:tcBorders>
              <w:top w:val="single" w:sz="4" w:space="0" w:color="auto"/>
              <w:left w:val="single" w:sz="4" w:space="0" w:color="auto"/>
              <w:bottom w:val="single" w:sz="4" w:space="0" w:color="auto"/>
              <w:right w:val="single" w:sz="4" w:space="0" w:color="auto"/>
            </w:tcBorders>
            <w:vAlign w:val="center"/>
          </w:tcPr>
          <w:p w14:paraId="38ED2379" w14:textId="77777777" w:rsidR="00E36D06" w:rsidRPr="003C738A" w:rsidRDefault="00E36D06" w:rsidP="00C953A7">
            <w:pPr>
              <w:jc w:val="center"/>
              <w:rPr>
                <w:rFonts w:cstheme="minorHAnsi"/>
                <w:sz w:val="18"/>
                <w:szCs w:val="18"/>
              </w:rPr>
            </w:pPr>
            <w:r w:rsidRPr="003C738A">
              <w:rPr>
                <w:rFonts w:cstheme="minorHAnsi"/>
                <w:sz w:val="18"/>
                <w:szCs w:val="18"/>
              </w:rPr>
              <w:t>350.1(66.81)</w:t>
            </w:r>
          </w:p>
        </w:tc>
        <w:tc>
          <w:tcPr>
            <w:tcW w:w="1618" w:type="dxa"/>
            <w:tcBorders>
              <w:top w:val="single" w:sz="4" w:space="0" w:color="auto"/>
              <w:left w:val="single" w:sz="4" w:space="0" w:color="auto"/>
              <w:bottom w:val="single" w:sz="4" w:space="0" w:color="auto"/>
              <w:right w:val="single" w:sz="4" w:space="0" w:color="auto"/>
            </w:tcBorders>
            <w:vAlign w:val="center"/>
          </w:tcPr>
          <w:p w14:paraId="7C76B185" w14:textId="77777777" w:rsidR="00E36D06" w:rsidRPr="003C738A" w:rsidRDefault="00E36D06" w:rsidP="00C953A7">
            <w:pPr>
              <w:jc w:val="center"/>
              <w:rPr>
                <w:rFonts w:cstheme="minorHAnsi"/>
                <w:sz w:val="18"/>
                <w:szCs w:val="18"/>
              </w:rPr>
            </w:pPr>
            <w:r w:rsidRPr="003C738A">
              <w:rPr>
                <w:rFonts w:cstheme="minorHAnsi"/>
                <w:sz w:val="18"/>
                <w:szCs w:val="18"/>
              </w:rPr>
              <w:t>174(33.19)</w:t>
            </w:r>
          </w:p>
        </w:tc>
        <w:tc>
          <w:tcPr>
            <w:tcW w:w="1619" w:type="dxa"/>
            <w:vMerge/>
            <w:tcBorders>
              <w:left w:val="single" w:sz="4" w:space="0" w:color="auto"/>
              <w:right w:val="single" w:sz="4" w:space="0" w:color="auto"/>
            </w:tcBorders>
            <w:vAlign w:val="center"/>
          </w:tcPr>
          <w:p w14:paraId="70852FFA" w14:textId="77777777" w:rsidR="00E36D06" w:rsidRPr="003C738A" w:rsidRDefault="00E36D06" w:rsidP="00C953A7">
            <w:pPr>
              <w:jc w:val="center"/>
              <w:rPr>
                <w:rFonts w:cstheme="minorHAnsi"/>
                <w:sz w:val="18"/>
                <w:szCs w:val="18"/>
              </w:rPr>
            </w:pPr>
          </w:p>
        </w:tc>
      </w:tr>
      <w:tr w:rsidR="00E36D06" w:rsidRPr="003C738A" w14:paraId="5DC91738" w14:textId="77777777" w:rsidTr="00C953A7">
        <w:trPr>
          <w:trHeight w:val="365"/>
        </w:trPr>
        <w:tc>
          <w:tcPr>
            <w:tcW w:w="1870" w:type="dxa"/>
            <w:vMerge/>
            <w:tcBorders>
              <w:left w:val="single" w:sz="4" w:space="0" w:color="auto"/>
              <w:right w:val="single" w:sz="4" w:space="0" w:color="auto"/>
            </w:tcBorders>
            <w:vAlign w:val="center"/>
            <w:hideMark/>
          </w:tcPr>
          <w:p w14:paraId="3643A616"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5C4757BB" w14:textId="77777777" w:rsidR="00E36D06" w:rsidRPr="003C738A" w:rsidRDefault="00E36D06" w:rsidP="00C953A7">
            <w:pPr>
              <w:jc w:val="center"/>
              <w:rPr>
                <w:rFonts w:cstheme="minorHAnsi"/>
                <w:sz w:val="18"/>
                <w:szCs w:val="18"/>
              </w:rPr>
            </w:pPr>
            <w:r w:rsidRPr="003C738A">
              <w:rPr>
                <w:rFonts w:cstheme="minorHAnsi"/>
                <w:sz w:val="18"/>
                <w:szCs w:val="18"/>
              </w:rPr>
              <w:t>Manual Labor</w:t>
            </w:r>
          </w:p>
        </w:tc>
        <w:tc>
          <w:tcPr>
            <w:tcW w:w="1618" w:type="dxa"/>
            <w:tcBorders>
              <w:top w:val="single" w:sz="4" w:space="0" w:color="auto"/>
              <w:left w:val="single" w:sz="4" w:space="0" w:color="auto"/>
              <w:bottom w:val="single" w:sz="4" w:space="0" w:color="auto"/>
              <w:right w:val="single" w:sz="4" w:space="0" w:color="auto"/>
            </w:tcBorders>
            <w:vAlign w:val="center"/>
          </w:tcPr>
          <w:p w14:paraId="37FD948C" w14:textId="77777777" w:rsidR="00E36D06" w:rsidRPr="003C738A" w:rsidRDefault="00E36D06" w:rsidP="00C953A7">
            <w:pPr>
              <w:jc w:val="center"/>
              <w:rPr>
                <w:rFonts w:cstheme="minorHAnsi"/>
                <w:sz w:val="18"/>
                <w:szCs w:val="18"/>
              </w:rPr>
            </w:pPr>
            <w:r w:rsidRPr="003C738A">
              <w:rPr>
                <w:rFonts w:cstheme="minorHAnsi"/>
                <w:sz w:val="18"/>
                <w:szCs w:val="18"/>
              </w:rPr>
              <w:t>58.37(55.95)</w:t>
            </w:r>
          </w:p>
        </w:tc>
        <w:tc>
          <w:tcPr>
            <w:tcW w:w="1618" w:type="dxa"/>
            <w:tcBorders>
              <w:top w:val="single" w:sz="4" w:space="0" w:color="auto"/>
              <w:left w:val="single" w:sz="4" w:space="0" w:color="auto"/>
              <w:bottom w:val="single" w:sz="4" w:space="0" w:color="auto"/>
              <w:right w:val="single" w:sz="4" w:space="0" w:color="auto"/>
            </w:tcBorders>
            <w:vAlign w:val="center"/>
          </w:tcPr>
          <w:p w14:paraId="1638A31E" w14:textId="77777777" w:rsidR="00E36D06" w:rsidRPr="003C738A" w:rsidRDefault="00E36D06" w:rsidP="00C953A7">
            <w:pPr>
              <w:jc w:val="center"/>
              <w:rPr>
                <w:rFonts w:cstheme="minorHAnsi"/>
                <w:sz w:val="18"/>
                <w:szCs w:val="18"/>
              </w:rPr>
            </w:pPr>
            <w:r w:rsidRPr="003C738A">
              <w:rPr>
                <w:rFonts w:cstheme="minorHAnsi"/>
                <w:sz w:val="18"/>
                <w:szCs w:val="18"/>
              </w:rPr>
              <w:t>45.96(44.05)</w:t>
            </w:r>
          </w:p>
        </w:tc>
        <w:tc>
          <w:tcPr>
            <w:tcW w:w="1619" w:type="dxa"/>
            <w:vMerge/>
            <w:tcBorders>
              <w:left w:val="single" w:sz="4" w:space="0" w:color="auto"/>
              <w:right w:val="single" w:sz="4" w:space="0" w:color="auto"/>
            </w:tcBorders>
            <w:vAlign w:val="center"/>
          </w:tcPr>
          <w:p w14:paraId="15D66ABA" w14:textId="77777777" w:rsidR="00E36D06" w:rsidRPr="003C738A" w:rsidRDefault="00E36D06" w:rsidP="00C953A7">
            <w:pPr>
              <w:jc w:val="center"/>
              <w:rPr>
                <w:rFonts w:cstheme="minorHAnsi"/>
                <w:sz w:val="18"/>
                <w:szCs w:val="18"/>
              </w:rPr>
            </w:pPr>
          </w:p>
        </w:tc>
      </w:tr>
      <w:tr w:rsidR="00E36D06" w:rsidRPr="003C738A" w14:paraId="0BB4322A" w14:textId="77777777" w:rsidTr="00C953A7">
        <w:tc>
          <w:tcPr>
            <w:tcW w:w="1870" w:type="dxa"/>
            <w:vMerge/>
            <w:tcBorders>
              <w:left w:val="single" w:sz="4" w:space="0" w:color="auto"/>
              <w:right w:val="single" w:sz="4" w:space="0" w:color="auto"/>
            </w:tcBorders>
            <w:vAlign w:val="center"/>
            <w:hideMark/>
          </w:tcPr>
          <w:p w14:paraId="068C9B49"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5B2DEE20" w14:textId="77777777" w:rsidR="00E36D06" w:rsidRPr="003C738A" w:rsidRDefault="00E36D06" w:rsidP="00C953A7">
            <w:pPr>
              <w:jc w:val="center"/>
              <w:rPr>
                <w:rFonts w:cstheme="minorHAnsi"/>
                <w:sz w:val="18"/>
                <w:szCs w:val="18"/>
              </w:rPr>
            </w:pPr>
            <w:r w:rsidRPr="003C738A">
              <w:rPr>
                <w:rFonts w:cstheme="minorHAnsi"/>
                <w:sz w:val="18"/>
                <w:szCs w:val="18"/>
              </w:rPr>
              <w:t>Professional/technical/</w:t>
            </w:r>
          </w:p>
          <w:p w14:paraId="0C151AB8" w14:textId="77777777" w:rsidR="00E36D06" w:rsidRPr="003C738A" w:rsidRDefault="00E36D06" w:rsidP="00C953A7">
            <w:pPr>
              <w:jc w:val="center"/>
              <w:rPr>
                <w:rFonts w:cstheme="minorHAnsi"/>
                <w:sz w:val="18"/>
                <w:szCs w:val="18"/>
              </w:rPr>
            </w:pPr>
            <w:r w:rsidRPr="003C738A">
              <w:rPr>
                <w:rFonts w:cstheme="minorHAnsi"/>
                <w:sz w:val="18"/>
                <w:szCs w:val="18"/>
              </w:rPr>
              <w:t>managerial</w:t>
            </w:r>
          </w:p>
        </w:tc>
        <w:tc>
          <w:tcPr>
            <w:tcW w:w="1618" w:type="dxa"/>
            <w:tcBorders>
              <w:top w:val="single" w:sz="4" w:space="0" w:color="auto"/>
              <w:left w:val="single" w:sz="4" w:space="0" w:color="auto"/>
              <w:bottom w:val="single" w:sz="4" w:space="0" w:color="auto"/>
              <w:right w:val="single" w:sz="4" w:space="0" w:color="auto"/>
            </w:tcBorders>
            <w:vAlign w:val="center"/>
          </w:tcPr>
          <w:p w14:paraId="20AEB733" w14:textId="77777777" w:rsidR="00E36D06" w:rsidRPr="003C738A" w:rsidRDefault="00E36D06" w:rsidP="00C953A7">
            <w:pPr>
              <w:jc w:val="center"/>
              <w:rPr>
                <w:rFonts w:cstheme="minorHAnsi"/>
                <w:sz w:val="18"/>
                <w:szCs w:val="18"/>
              </w:rPr>
            </w:pPr>
            <w:r w:rsidRPr="003C738A">
              <w:rPr>
                <w:rFonts w:cstheme="minorHAnsi"/>
                <w:sz w:val="18"/>
                <w:szCs w:val="18"/>
              </w:rPr>
              <w:t>4.661(47.83)</w:t>
            </w:r>
          </w:p>
        </w:tc>
        <w:tc>
          <w:tcPr>
            <w:tcW w:w="1618" w:type="dxa"/>
            <w:tcBorders>
              <w:top w:val="single" w:sz="4" w:space="0" w:color="auto"/>
              <w:left w:val="single" w:sz="4" w:space="0" w:color="auto"/>
              <w:bottom w:val="single" w:sz="4" w:space="0" w:color="auto"/>
              <w:right w:val="single" w:sz="4" w:space="0" w:color="auto"/>
            </w:tcBorders>
            <w:vAlign w:val="center"/>
          </w:tcPr>
          <w:p w14:paraId="69B6D566" w14:textId="77777777" w:rsidR="00E36D06" w:rsidRPr="003C738A" w:rsidRDefault="00E36D06" w:rsidP="00C953A7">
            <w:pPr>
              <w:jc w:val="center"/>
              <w:rPr>
                <w:rFonts w:cstheme="minorHAnsi"/>
                <w:sz w:val="18"/>
                <w:szCs w:val="18"/>
              </w:rPr>
            </w:pPr>
            <w:r w:rsidRPr="003C738A">
              <w:rPr>
                <w:rFonts w:cstheme="minorHAnsi"/>
                <w:sz w:val="18"/>
                <w:szCs w:val="18"/>
              </w:rPr>
              <w:t>5.085(52.17)</w:t>
            </w:r>
          </w:p>
        </w:tc>
        <w:tc>
          <w:tcPr>
            <w:tcW w:w="1619" w:type="dxa"/>
            <w:vMerge/>
            <w:tcBorders>
              <w:left w:val="single" w:sz="4" w:space="0" w:color="auto"/>
              <w:right w:val="single" w:sz="4" w:space="0" w:color="auto"/>
            </w:tcBorders>
            <w:vAlign w:val="center"/>
          </w:tcPr>
          <w:p w14:paraId="26259AE6" w14:textId="77777777" w:rsidR="00E36D06" w:rsidRPr="003C738A" w:rsidRDefault="00E36D06" w:rsidP="00C953A7">
            <w:pPr>
              <w:jc w:val="center"/>
              <w:rPr>
                <w:rFonts w:cstheme="minorHAnsi"/>
                <w:sz w:val="18"/>
                <w:szCs w:val="18"/>
              </w:rPr>
            </w:pPr>
          </w:p>
        </w:tc>
      </w:tr>
      <w:tr w:rsidR="00E36D06" w:rsidRPr="003C738A" w14:paraId="32040996" w14:textId="77777777" w:rsidTr="00C953A7">
        <w:tc>
          <w:tcPr>
            <w:tcW w:w="1870" w:type="dxa"/>
            <w:vMerge/>
            <w:tcBorders>
              <w:left w:val="single" w:sz="4" w:space="0" w:color="auto"/>
              <w:bottom w:val="single" w:sz="4" w:space="0" w:color="auto"/>
              <w:right w:val="single" w:sz="4" w:space="0" w:color="auto"/>
            </w:tcBorders>
            <w:vAlign w:val="center"/>
            <w:hideMark/>
          </w:tcPr>
          <w:p w14:paraId="1AF5291C"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4A36E552" w14:textId="77777777" w:rsidR="00E36D06" w:rsidRPr="003C738A" w:rsidRDefault="00E36D06" w:rsidP="00C953A7">
            <w:pPr>
              <w:jc w:val="center"/>
              <w:rPr>
                <w:rFonts w:cstheme="minorHAnsi"/>
                <w:sz w:val="18"/>
                <w:szCs w:val="18"/>
              </w:rPr>
            </w:pPr>
            <w:r w:rsidRPr="003C738A">
              <w:rPr>
                <w:rFonts w:cstheme="minorHAnsi"/>
                <w:sz w:val="18"/>
                <w:szCs w:val="18"/>
              </w:rPr>
              <w:t>Others</w:t>
            </w:r>
          </w:p>
        </w:tc>
        <w:tc>
          <w:tcPr>
            <w:tcW w:w="1618" w:type="dxa"/>
            <w:tcBorders>
              <w:top w:val="single" w:sz="4" w:space="0" w:color="auto"/>
              <w:left w:val="single" w:sz="4" w:space="0" w:color="auto"/>
              <w:bottom w:val="single" w:sz="4" w:space="0" w:color="auto"/>
              <w:right w:val="single" w:sz="4" w:space="0" w:color="auto"/>
            </w:tcBorders>
            <w:vAlign w:val="center"/>
          </w:tcPr>
          <w:p w14:paraId="370865F0" w14:textId="77777777" w:rsidR="00E36D06" w:rsidRPr="003C738A" w:rsidRDefault="00E36D06" w:rsidP="00C953A7">
            <w:pPr>
              <w:jc w:val="center"/>
              <w:rPr>
                <w:rFonts w:cstheme="minorHAnsi"/>
                <w:sz w:val="18"/>
                <w:szCs w:val="18"/>
              </w:rPr>
            </w:pPr>
            <w:r w:rsidRPr="003C738A">
              <w:rPr>
                <w:rFonts w:cstheme="minorHAnsi"/>
                <w:sz w:val="18"/>
                <w:szCs w:val="18"/>
              </w:rPr>
              <w:t>55.59(71.53)</w:t>
            </w:r>
          </w:p>
        </w:tc>
        <w:tc>
          <w:tcPr>
            <w:tcW w:w="1618" w:type="dxa"/>
            <w:tcBorders>
              <w:top w:val="single" w:sz="4" w:space="0" w:color="auto"/>
              <w:left w:val="single" w:sz="4" w:space="0" w:color="auto"/>
              <w:bottom w:val="single" w:sz="4" w:space="0" w:color="auto"/>
              <w:right w:val="single" w:sz="4" w:space="0" w:color="auto"/>
            </w:tcBorders>
            <w:vAlign w:val="center"/>
          </w:tcPr>
          <w:p w14:paraId="583B7849" w14:textId="77777777" w:rsidR="00E36D06" w:rsidRPr="003C738A" w:rsidRDefault="00E36D06" w:rsidP="00C953A7">
            <w:pPr>
              <w:jc w:val="center"/>
              <w:rPr>
                <w:rFonts w:cstheme="minorHAnsi"/>
                <w:sz w:val="18"/>
                <w:szCs w:val="18"/>
              </w:rPr>
            </w:pPr>
            <w:r w:rsidRPr="003C738A">
              <w:rPr>
                <w:rFonts w:cstheme="minorHAnsi"/>
                <w:sz w:val="18"/>
                <w:szCs w:val="18"/>
              </w:rPr>
              <w:t>22.12(28.47)</w:t>
            </w:r>
          </w:p>
        </w:tc>
        <w:tc>
          <w:tcPr>
            <w:tcW w:w="1619" w:type="dxa"/>
            <w:vMerge/>
            <w:tcBorders>
              <w:left w:val="single" w:sz="4" w:space="0" w:color="auto"/>
              <w:bottom w:val="single" w:sz="4" w:space="0" w:color="auto"/>
              <w:right w:val="single" w:sz="4" w:space="0" w:color="auto"/>
            </w:tcBorders>
            <w:vAlign w:val="center"/>
          </w:tcPr>
          <w:p w14:paraId="7C826906" w14:textId="77777777" w:rsidR="00E36D06" w:rsidRPr="003C738A" w:rsidRDefault="00E36D06" w:rsidP="00C953A7">
            <w:pPr>
              <w:jc w:val="center"/>
              <w:rPr>
                <w:rFonts w:cstheme="minorHAnsi"/>
                <w:sz w:val="18"/>
                <w:szCs w:val="18"/>
              </w:rPr>
            </w:pPr>
          </w:p>
        </w:tc>
      </w:tr>
      <w:tr w:rsidR="00E36D06" w:rsidRPr="003C738A" w14:paraId="0864E499" w14:textId="77777777" w:rsidTr="00C953A7">
        <w:tc>
          <w:tcPr>
            <w:tcW w:w="1870" w:type="dxa"/>
            <w:vMerge w:val="restart"/>
            <w:tcBorders>
              <w:top w:val="single" w:sz="4" w:space="0" w:color="auto"/>
              <w:left w:val="single" w:sz="4" w:space="0" w:color="auto"/>
              <w:right w:val="single" w:sz="4" w:space="0" w:color="auto"/>
            </w:tcBorders>
            <w:vAlign w:val="center"/>
          </w:tcPr>
          <w:p w14:paraId="5FF08373" w14:textId="77777777" w:rsidR="00E36D06" w:rsidRPr="003C738A" w:rsidRDefault="00E36D06" w:rsidP="00C953A7">
            <w:pPr>
              <w:jc w:val="center"/>
              <w:rPr>
                <w:rFonts w:cstheme="minorHAnsi"/>
              </w:rPr>
            </w:pPr>
            <w:r w:rsidRPr="003C738A">
              <w:rPr>
                <w:rFonts w:cstheme="minorHAnsi"/>
              </w:rPr>
              <w:t>Partner’s/</w:t>
            </w:r>
          </w:p>
          <w:p w14:paraId="28EFC951" w14:textId="77777777" w:rsidR="00E36D06" w:rsidRPr="003C738A" w:rsidRDefault="00E36D06" w:rsidP="00C953A7">
            <w:pPr>
              <w:jc w:val="center"/>
              <w:rPr>
                <w:rFonts w:cstheme="minorHAnsi"/>
              </w:rPr>
            </w:pPr>
            <w:r w:rsidRPr="003C738A">
              <w:rPr>
                <w:rFonts w:cstheme="minorHAnsi"/>
              </w:rPr>
              <w:t>husband’s occupation (grouped)</w:t>
            </w:r>
          </w:p>
        </w:tc>
        <w:tc>
          <w:tcPr>
            <w:tcW w:w="2625" w:type="dxa"/>
            <w:tcBorders>
              <w:top w:val="single" w:sz="4" w:space="0" w:color="auto"/>
              <w:left w:val="single" w:sz="4" w:space="0" w:color="auto"/>
              <w:bottom w:val="single" w:sz="4" w:space="0" w:color="auto"/>
              <w:right w:val="single" w:sz="4" w:space="0" w:color="auto"/>
            </w:tcBorders>
            <w:vAlign w:val="center"/>
          </w:tcPr>
          <w:p w14:paraId="120AE98B" w14:textId="77777777" w:rsidR="00E36D06" w:rsidRPr="003C738A" w:rsidRDefault="00E36D06" w:rsidP="00C953A7">
            <w:pPr>
              <w:jc w:val="center"/>
              <w:rPr>
                <w:rFonts w:cstheme="minorHAnsi"/>
                <w:sz w:val="18"/>
                <w:szCs w:val="18"/>
              </w:rPr>
            </w:pPr>
            <w:r w:rsidRPr="003C738A">
              <w:rPr>
                <w:rFonts w:cstheme="minorHAnsi"/>
                <w:sz w:val="18"/>
                <w:szCs w:val="18"/>
              </w:rPr>
              <w:t>Did not work</w:t>
            </w:r>
          </w:p>
        </w:tc>
        <w:tc>
          <w:tcPr>
            <w:tcW w:w="1618" w:type="dxa"/>
            <w:tcBorders>
              <w:top w:val="single" w:sz="4" w:space="0" w:color="auto"/>
              <w:left w:val="single" w:sz="4" w:space="0" w:color="auto"/>
              <w:bottom w:val="single" w:sz="4" w:space="0" w:color="auto"/>
              <w:right w:val="single" w:sz="4" w:space="0" w:color="auto"/>
            </w:tcBorders>
            <w:vAlign w:val="center"/>
          </w:tcPr>
          <w:p w14:paraId="47AE270D" w14:textId="77777777" w:rsidR="00E36D06" w:rsidRPr="003C738A" w:rsidRDefault="00E36D06" w:rsidP="00C953A7">
            <w:pPr>
              <w:jc w:val="center"/>
              <w:rPr>
                <w:rFonts w:cstheme="minorHAnsi"/>
                <w:sz w:val="18"/>
                <w:szCs w:val="18"/>
              </w:rPr>
            </w:pPr>
            <w:r w:rsidRPr="003C738A">
              <w:rPr>
                <w:rFonts w:cstheme="minorHAnsi"/>
                <w:sz w:val="18"/>
                <w:szCs w:val="18"/>
              </w:rPr>
              <w:t>25.48(71.74)</w:t>
            </w:r>
          </w:p>
        </w:tc>
        <w:tc>
          <w:tcPr>
            <w:tcW w:w="1618" w:type="dxa"/>
            <w:tcBorders>
              <w:top w:val="single" w:sz="4" w:space="0" w:color="auto"/>
              <w:left w:val="single" w:sz="4" w:space="0" w:color="auto"/>
              <w:bottom w:val="single" w:sz="4" w:space="0" w:color="auto"/>
              <w:right w:val="single" w:sz="4" w:space="0" w:color="auto"/>
            </w:tcBorders>
            <w:vAlign w:val="center"/>
          </w:tcPr>
          <w:p w14:paraId="7F1D0858" w14:textId="77777777" w:rsidR="00E36D06" w:rsidRPr="003C738A" w:rsidRDefault="00E36D06" w:rsidP="00C953A7">
            <w:pPr>
              <w:jc w:val="center"/>
              <w:rPr>
                <w:rFonts w:cstheme="minorHAnsi"/>
                <w:sz w:val="18"/>
                <w:szCs w:val="18"/>
              </w:rPr>
            </w:pPr>
            <w:r w:rsidRPr="003C738A">
              <w:rPr>
                <w:rFonts w:cstheme="minorHAnsi"/>
                <w:sz w:val="18"/>
                <w:szCs w:val="18"/>
              </w:rPr>
              <w:t>10.04(28.26)</w:t>
            </w:r>
          </w:p>
        </w:tc>
        <w:tc>
          <w:tcPr>
            <w:tcW w:w="1619" w:type="dxa"/>
            <w:vMerge w:val="restart"/>
            <w:tcBorders>
              <w:top w:val="single" w:sz="4" w:space="0" w:color="auto"/>
              <w:left w:val="single" w:sz="4" w:space="0" w:color="auto"/>
              <w:right w:val="single" w:sz="4" w:space="0" w:color="auto"/>
            </w:tcBorders>
            <w:vAlign w:val="center"/>
          </w:tcPr>
          <w:p w14:paraId="17D60405" w14:textId="77777777" w:rsidR="00E36D06" w:rsidRPr="003C738A" w:rsidRDefault="00E36D06" w:rsidP="00C953A7">
            <w:pPr>
              <w:jc w:val="center"/>
              <w:rPr>
                <w:rFonts w:cstheme="minorHAnsi"/>
                <w:sz w:val="18"/>
                <w:szCs w:val="18"/>
              </w:rPr>
            </w:pPr>
            <w:r w:rsidRPr="003C738A">
              <w:rPr>
                <w:rFonts w:cstheme="minorHAnsi"/>
                <w:sz w:val="18"/>
                <w:szCs w:val="18"/>
              </w:rPr>
              <w:t>0.3821</w:t>
            </w:r>
          </w:p>
        </w:tc>
      </w:tr>
      <w:tr w:rsidR="00E36D06" w:rsidRPr="003C738A" w14:paraId="18A68903" w14:textId="77777777" w:rsidTr="00C953A7">
        <w:tc>
          <w:tcPr>
            <w:tcW w:w="1870" w:type="dxa"/>
            <w:vMerge/>
            <w:tcBorders>
              <w:left w:val="single" w:sz="4" w:space="0" w:color="auto"/>
              <w:right w:val="single" w:sz="4" w:space="0" w:color="auto"/>
            </w:tcBorders>
            <w:vAlign w:val="center"/>
            <w:hideMark/>
          </w:tcPr>
          <w:p w14:paraId="21A27E93"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71DEA1B2" w14:textId="77777777" w:rsidR="00E36D06" w:rsidRPr="003C738A" w:rsidRDefault="00E36D06" w:rsidP="00C953A7">
            <w:pPr>
              <w:jc w:val="center"/>
              <w:rPr>
                <w:rFonts w:cstheme="minorHAnsi"/>
                <w:sz w:val="18"/>
                <w:szCs w:val="18"/>
              </w:rPr>
            </w:pPr>
            <w:r w:rsidRPr="003C738A">
              <w:rPr>
                <w:rFonts w:cstheme="minorHAnsi"/>
                <w:sz w:val="18"/>
                <w:szCs w:val="18"/>
              </w:rPr>
              <w:t>Agriculture</w:t>
            </w:r>
          </w:p>
        </w:tc>
        <w:tc>
          <w:tcPr>
            <w:tcW w:w="1618" w:type="dxa"/>
            <w:tcBorders>
              <w:top w:val="single" w:sz="4" w:space="0" w:color="auto"/>
              <w:left w:val="single" w:sz="4" w:space="0" w:color="auto"/>
              <w:bottom w:val="single" w:sz="4" w:space="0" w:color="auto"/>
              <w:right w:val="single" w:sz="4" w:space="0" w:color="auto"/>
            </w:tcBorders>
            <w:vAlign w:val="center"/>
          </w:tcPr>
          <w:p w14:paraId="04EE10C5" w14:textId="77777777" w:rsidR="00E36D06" w:rsidRPr="003C738A" w:rsidRDefault="00E36D06" w:rsidP="00C953A7">
            <w:pPr>
              <w:jc w:val="center"/>
              <w:rPr>
                <w:rFonts w:cstheme="minorHAnsi"/>
                <w:sz w:val="18"/>
                <w:szCs w:val="18"/>
              </w:rPr>
            </w:pPr>
            <w:r w:rsidRPr="003C738A">
              <w:rPr>
                <w:rFonts w:cstheme="minorHAnsi"/>
                <w:sz w:val="18"/>
                <w:szCs w:val="18"/>
              </w:rPr>
              <w:t>241.8(68.41)</w:t>
            </w:r>
          </w:p>
        </w:tc>
        <w:tc>
          <w:tcPr>
            <w:tcW w:w="1618" w:type="dxa"/>
            <w:tcBorders>
              <w:top w:val="single" w:sz="4" w:space="0" w:color="auto"/>
              <w:left w:val="single" w:sz="4" w:space="0" w:color="auto"/>
              <w:bottom w:val="single" w:sz="4" w:space="0" w:color="auto"/>
              <w:right w:val="single" w:sz="4" w:space="0" w:color="auto"/>
            </w:tcBorders>
            <w:vAlign w:val="center"/>
          </w:tcPr>
          <w:p w14:paraId="3C0606A5" w14:textId="77777777" w:rsidR="00E36D06" w:rsidRPr="003C738A" w:rsidRDefault="00E36D06" w:rsidP="00C953A7">
            <w:pPr>
              <w:jc w:val="center"/>
              <w:rPr>
                <w:rFonts w:cstheme="minorHAnsi"/>
                <w:sz w:val="18"/>
                <w:szCs w:val="18"/>
              </w:rPr>
            </w:pPr>
            <w:r w:rsidRPr="003C738A">
              <w:rPr>
                <w:rFonts w:cstheme="minorHAnsi"/>
                <w:sz w:val="18"/>
                <w:szCs w:val="18"/>
              </w:rPr>
              <w:t>111.7(31.59)</w:t>
            </w:r>
          </w:p>
        </w:tc>
        <w:tc>
          <w:tcPr>
            <w:tcW w:w="1619" w:type="dxa"/>
            <w:vMerge/>
            <w:tcBorders>
              <w:left w:val="single" w:sz="4" w:space="0" w:color="auto"/>
              <w:right w:val="single" w:sz="4" w:space="0" w:color="auto"/>
            </w:tcBorders>
            <w:vAlign w:val="center"/>
          </w:tcPr>
          <w:p w14:paraId="4E39C0CE" w14:textId="77777777" w:rsidR="00E36D06" w:rsidRPr="003C738A" w:rsidRDefault="00E36D06" w:rsidP="00C953A7">
            <w:pPr>
              <w:jc w:val="center"/>
              <w:rPr>
                <w:rFonts w:cstheme="minorHAnsi"/>
                <w:sz w:val="18"/>
                <w:szCs w:val="18"/>
              </w:rPr>
            </w:pPr>
          </w:p>
        </w:tc>
      </w:tr>
      <w:tr w:rsidR="00E36D06" w:rsidRPr="003C738A" w14:paraId="33AE02D0" w14:textId="77777777" w:rsidTr="00C953A7">
        <w:tc>
          <w:tcPr>
            <w:tcW w:w="1870" w:type="dxa"/>
            <w:vMerge/>
            <w:tcBorders>
              <w:left w:val="single" w:sz="4" w:space="0" w:color="auto"/>
              <w:right w:val="single" w:sz="4" w:space="0" w:color="auto"/>
            </w:tcBorders>
            <w:vAlign w:val="center"/>
            <w:hideMark/>
          </w:tcPr>
          <w:p w14:paraId="47E2FA54"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69AA31DE" w14:textId="77777777" w:rsidR="00E36D06" w:rsidRPr="003C738A" w:rsidRDefault="00E36D06" w:rsidP="00C953A7">
            <w:pPr>
              <w:jc w:val="center"/>
              <w:rPr>
                <w:rFonts w:cstheme="minorHAnsi"/>
                <w:sz w:val="18"/>
                <w:szCs w:val="18"/>
              </w:rPr>
            </w:pPr>
            <w:r w:rsidRPr="003C738A">
              <w:rPr>
                <w:rFonts w:cstheme="minorHAnsi"/>
                <w:sz w:val="18"/>
                <w:szCs w:val="18"/>
              </w:rPr>
              <w:t>Manual Labor</w:t>
            </w:r>
          </w:p>
        </w:tc>
        <w:tc>
          <w:tcPr>
            <w:tcW w:w="1618" w:type="dxa"/>
            <w:tcBorders>
              <w:top w:val="single" w:sz="4" w:space="0" w:color="auto"/>
              <w:left w:val="single" w:sz="4" w:space="0" w:color="auto"/>
              <w:bottom w:val="single" w:sz="4" w:space="0" w:color="auto"/>
              <w:right w:val="single" w:sz="4" w:space="0" w:color="auto"/>
            </w:tcBorders>
            <w:vAlign w:val="center"/>
          </w:tcPr>
          <w:p w14:paraId="41480B2F" w14:textId="77777777" w:rsidR="00E36D06" w:rsidRPr="003C738A" w:rsidRDefault="00E36D06" w:rsidP="00C953A7">
            <w:pPr>
              <w:jc w:val="center"/>
              <w:rPr>
                <w:rFonts w:cstheme="minorHAnsi"/>
                <w:sz w:val="18"/>
                <w:szCs w:val="18"/>
              </w:rPr>
            </w:pPr>
            <w:r w:rsidRPr="003C738A">
              <w:rPr>
                <w:rFonts w:cstheme="minorHAnsi"/>
                <w:sz w:val="18"/>
                <w:szCs w:val="18"/>
              </w:rPr>
              <w:t>385.2(66.52)</w:t>
            </w:r>
          </w:p>
        </w:tc>
        <w:tc>
          <w:tcPr>
            <w:tcW w:w="1618" w:type="dxa"/>
            <w:tcBorders>
              <w:top w:val="single" w:sz="4" w:space="0" w:color="auto"/>
              <w:left w:val="single" w:sz="4" w:space="0" w:color="auto"/>
              <w:bottom w:val="single" w:sz="4" w:space="0" w:color="auto"/>
              <w:right w:val="single" w:sz="4" w:space="0" w:color="auto"/>
            </w:tcBorders>
            <w:vAlign w:val="center"/>
          </w:tcPr>
          <w:p w14:paraId="03E1D562" w14:textId="77777777" w:rsidR="00E36D06" w:rsidRPr="003C738A" w:rsidRDefault="00E36D06" w:rsidP="00C953A7">
            <w:pPr>
              <w:jc w:val="center"/>
              <w:rPr>
                <w:rFonts w:cstheme="minorHAnsi"/>
                <w:sz w:val="18"/>
                <w:szCs w:val="18"/>
              </w:rPr>
            </w:pPr>
            <w:r w:rsidRPr="003C738A">
              <w:rPr>
                <w:rFonts w:cstheme="minorHAnsi"/>
                <w:sz w:val="18"/>
                <w:szCs w:val="18"/>
              </w:rPr>
              <w:t>193.9(33.48)</w:t>
            </w:r>
          </w:p>
        </w:tc>
        <w:tc>
          <w:tcPr>
            <w:tcW w:w="1619" w:type="dxa"/>
            <w:vMerge/>
            <w:tcBorders>
              <w:left w:val="single" w:sz="4" w:space="0" w:color="auto"/>
              <w:right w:val="single" w:sz="4" w:space="0" w:color="auto"/>
            </w:tcBorders>
            <w:vAlign w:val="center"/>
          </w:tcPr>
          <w:p w14:paraId="09C3B2C6" w14:textId="77777777" w:rsidR="00E36D06" w:rsidRPr="003C738A" w:rsidRDefault="00E36D06" w:rsidP="00C953A7">
            <w:pPr>
              <w:jc w:val="center"/>
              <w:rPr>
                <w:rFonts w:cstheme="minorHAnsi"/>
                <w:sz w:val="18"/>
                <w:szCs w:val="18"/>
              </w:rPr>
            </w:pPr>
          </w:p>
        </w:tc>
      </w:tr>
      <w:tr w:rsidR="00E36D06" w:rsidRPr="003C738A" w14:paraId="5ABA99C7" w14:textId="77777777" w:rsidTr="00C953A7">
        <w:tc>
          <w:tcPr>
            <w:tcW w:w="1870" w:type="dxa"/>
            <w:vMerge/>
            <w:tcBorders>
              <w:left w:val="single" w:sz="4" w:space="0" w:color="auto"/>
              <w:right w:val="single" w:sz="4" w:space="0" w:color="auto"/>
            </w:tcBorders>
            <w:vAlign w:val="center"/>
            <w:hideMark/>
          </w:tcPr>
          <w:p w14:paraId="35AEB7D6"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0ACF5128" w14:textId="77777777" w:rsidR="00E36D06" w:rsidRPr="003C738A" w:rsidRDefault="00E36D06" w:rsidP="00C953A7">
            <w:pPr>
              <w:jc w:val="center"/>
              <w:rPr>
                <w:rFonts w:cstheme="minorHAnsi"/>
                <w:sz w:val="18"/>
                <w:szCs w:val="18"/>
              </w:rPr>
            </w:pPr>
            <w:r w:rsidRPr="003C738A">
              <w:rPr>
                <w:rFonts w:cstheme="minorHAnsi"/>
                <w:sz w:val="18"/>
                <w:szCs w:val="18"/>
              </w:rPr>
              <w:t>Professional/technical/</w:t>
            </w:r>
          </w:p>
          <w:p w14:paraId="4E6918CA" w14:textId="77777777" w:rsidR="00E36D06" w:rsidRPr="003C738A" w:rsidRDefault="00E36D06" w:rsidP="00C953A7">
            <w:pPr>
              <w:jc w:val="center"/>
              <w:rPr>
                <w:rFonts w:cstheme="minorHAnsi"/>
                <w:sz w:val="18"/>
                <w:szCs w:val="18"/>
              </w:rPr>
            </w:pPr>
            <w:r w:rsidRPr="003C738A">
              <w:rPr>
                <w:rFonts w:cstheme="minorHAnsi"/>
                <w:sz w:val="18"/>
                <w:szCs w:val="18"/>
              </w:rPr>
              <w:t>managerial</w:t>
            </w:r>
          </w:p>
        </w:tc>
        <w:tc>
          <w:tcPr>
            <w:tcW w:w="1618" w:type="dxa"/>
            <w:tcBorders>
              <w:top w:val="single" w:sz="4" w:space="0" w:color="auto"/>
              <w:left w:val="single" w:sz="4" w:space="0" w:color="auto"/>
              <w:bottom w:val="single" w:sz="4" w:space="0" w:color="auto"/>
              <w:right w:val="single" w:sz="4" w:space="0" w:color="auto"/>
            </w:tcBorders>
            <w:vAlign w:val="center"/>
          </w:tcPr>
          <w:p w14:paraId="30E8CC22" w14:textId="77777777" w:rsidR="00E36D06" w:rsidRPr="003C738A" w:rsidRDefault="00E36D06" w:rsidP="00C953A7">
            <w:pPr>
              <w:jc w:val="center"/>
              <w:rPr>
                <w:rFonts w:cstheme="minorHAnsi"/>
                <w:sz w:val="18"/>
                <w:szCs w:val="18"/>
              </w:rPr>
            </w:pPr>
            <w:r w:rsidRPr="003C738A">
              <w:rPr>
                <w:rFonts w:cstheme="minorHAnsi"/>
                <w:sz w:val="18"/>
                <w:szCs w:val="18"/>
              </w:rPr>
              <w:t>41.15(54.95)</w:t>
            </w:r>
          </w:p>
        </w:tc>
        <w:tc>
          <w:tcPr>
            <w:tcW w:w="1618" w:type="dxa"/>
            <w:tcBorders>
              <w:top w:val="single" w:sz="4" w:space="0" w:color="auto"/>
              <w:left w:val="single" w:sz="4" w:space="0" w:color="auto"/>
              <w:bottom w:val="single" w:sz="4" w:space="0" w:color="auto"/>
              <w:right w:val="single" w:sz="4" w:space="0" w:color="auto"/>
            </w:tcBorders>
            <w:vAlign w:val="center"/>
          </w:tcPr>
          <w:p w14:paraId="6DEC0A84" w14:textId="77777777" w:rsidR="00E36D06" w:rsidRPr="003C738A" w:rsidRDefault="00E36D06" w:rsidP="00C953A7">
            <w:pPr>
              <w:jc w:val="center"/>
              <w:rPr>
                <w:rFonts w:cstheme="minorHAnsi"/>
                <w:sz w:val="18"/>
                <w:szCs w:val="18"/>
              </w:rPr>
            </w:pPr>
            <w:r w:rsidRPr="003C738A">
              <w:rPr>
                <w:rFonts w:cstheme="minorHAnsi"/>
                <w:sz w:val="18"/>
                <w:szCs w:val="18"/>
              </w:rPr>
              <w:t>33.73(45.05)</w:t>
            </w:r>
          </w:p>
        </w:tc>
        <w:tc>
          <w:tcPr>
            <w:tcW w:w="1619" w:type="dxa"/>
            <w:vMerge/>
            <w:tcBorders>
              <w:left w:val="single" w:sz="4" w:space="0" w:color="auto"/>
              <w:right w:val="single" w:sz="4" w:space="0" w:color="auto"/>
            </w:tcBorders>
            <w:vAlign w:val="center"/>
          </w:tcPr>
          <w:p w14:paraId="135C65D0" w14:textId="77777777" w:rsidR="00E36D06" w:rsidRPr="003C738A" w:rsidRDefault="00E36D06" w:rsidP="00C953A7">
            <w:pPr>
              <w:jc w:val="center"/>
              <w:rPr>
                <w:rFonts w:cstheme="minorHAnsi"/>
                <w:sz w:val="18"/>
                <w:szCs w:val="18"/>
              </w:rPr>
            </w:pPr>
          </w:p>
        </w:tc>
      </w:tr>
      <w:tr w:rsidR="00E36D06" w:rsidRPr="003C738A" w14:paraId="475BA115" w14:textId="77777777" w:rsidTr="00C953A7">
        <w:tc>
          <w:tcPr>
            <w:tcW w:w="1870" w:type="dxa"/>
            <w:vMerge/>
            <w:tcBorders>
              <w:left w:val="single" w:sz="4" w:space="0" w:color="auto"/>
              <w:bottom w:val="single" w:sz="4" w:space="0" w:color="auto"/>
              <w:right w:val="single" w:sz="4" w:space="0" w:color="auto"/>
            </w:tcBorders>
            <w:vAlign w:val="center"/>
            <w:hideMark/>
          </w:tcPr>
          <w:p w14:paraId="43AA507E"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77DECC82" w14:textId="77777777" w:rsidR="00E36D06" w:rsidRPr="003C738A" w:rsidRDefault="00E36D06" w:rsidP="00C953A7">
            <w:pPr>
              <w:jc w:val="center"/>
              <w:rPr>
                <w:rFonts w:cstheme="minorHAnsi"/>
                <w:sz w:val="18"/>
                <w:szCs w:val="18"/>
              </w:rPr>
            </w:pPr>
            <w:r w:rsidRPr="003C738A">
              <w:rPr>
                <w:rFonts w:cstheme="minorHAnsi"/>
                <w:sz w:val="18"/>
                <w:szCs w:val="18"/>
              </w:rPr>
              <w:t>Others</w:t>
            </w:r>
          </w:p>
        </w:tc>
        <w:tc>
          <w:tcPr>
            <w:tcW w:w="1618" w:type="dxa"/>
            <w:tcBorders>
              <w:top w:val="single" w:sz="4" w:space="0" w:color="auto"/>
              <w:left w:val="single" w:sz="4" w:space="0" w:color="auto"/>
              <w:bottom w:val="single" w:sz="4" w:space="0" w:color="auto"/>
              <w:right w:val="single" w:sz="4" w:space="0" w:color="auto"/>
            </w:tcBorders>
            <w:vAlign w:val="center"/>
          </w:tcPr>
          <w:p w14:paraId="39589628" w14:textId="77777777" w:rsidR="00E36D06" w:rsidRPr="003C738A" w:rsidRDefault="00E36D06" w:rsidP="00C953A7">
            <w:pPr>
              <w:jc w:val="center"/>
              <w:rPr>
                <w:rFonts w:cstheme="minorHAnsi"/>
                <w:sz w:val="18"/>
                <w:szCs w:val="18"/>
              </w:rPr>
            </w:pPr>
            <w:r w:rsidRPr="003C738A">
              <w:rPr>
                <w:rFonts w:cstheme="minorHAnsi"/>
                <w:sz w:val="18"/>
                <w:szCs w:val="18"/>
              </w:rPr>
              <w:t>307.9(64.06)</w:t>
            </w:r>
          </w:p>
        </w:tc>
        <w:tc>
          <w:tcPr>
            <w:tcW w:w="1618" w:type="dxa"/>
            <w:tcBorders>
              <w:top w:val="single" w:sz="4" w:space="0" w:color="auto"/>
              <w:left w:val="single" w:sz="4" w:space="0" w:color="auto"/>
              <w:bottom w:val="single" w:sz="4" w:space="0" w:color="auto"/>
              <w:right w:val="single" w:sz="4" w:space="0" w:color="auto"/>
            </w:tcBorders>
            <w:vAlign w:val="center"/>
          </w:tcPr>
          <w:p w14:paraId="16854AFC" w14:textId="77777777" w:rsidR="00E36D06" w:rsidRPr="003C738A" w:rsidRDefault="00E36D06" w:rsidP="00C953A7">
            <w:pPr>
              <w:jc w:val="center"/>
              <w:rPr>
                <w:rFonts w:cstheme="minorHAnsi"/>
                <w:sz w:val="18"/>
                <w:szCs w:val="18"/>
              </w:rPr>
            </w:pPr>
            <w:r w:rsidRPr="003C738A">
              <w:rPr>
                <w:rFonts w:cstheme="minorHAnsi"/>
                <w:sz w:val="18"/>
                <w:szCs w:val="18"/>
              </w:rPr>
              <w:t>172.8(35.94)</w:t>
            </w:r>
          </w:p>
        </w:tc>
        <w:tc>
          <w:tcPr>
            <w:tcW w:w="1619" w:type="dxa"/>
            <w:vMerge/>
            <w:tcBorders>
              <w:left w:val="single" w:sz="4" w:space="0" w:color="auto"/>
              <w:bottom w:val="single" w:sz="4" w:space="0" w:color="auto"/>
              <w:right w:val="single" w:sz="4" w:space="0" w:color="auto"/>
            </w:tcBorders>
            <w:vAlign w:val="center"/>
          </w:tcPr>
          <w:p w14:paraId="129A5FD8" w14:textId="77777777" w:rsidR="00E36D06" w:rsidRPr="003C738A" w:rsidRDefault="00E36D06" w:rsidP="00C953A7">
            <w:pPr>
              <w:jc w:val="center"/>
              <w:rPr>
                <w:rFonts w:cstheme="minorHAnsi"/>
                <w:sz w:val="18"/>
                <w:szCs w:val="18"/>
              </w:rPr>
            </w:pPr>
          </w:p>
        </w:tc>
      </w:tr>
      <w:tr w:rsidR="00E36D06" w:rsidRPr="003C738A" w14:paraId="29A7ACC6" w14:textId="77777777" w:rsidTr="00C953A7">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213F84A3" w14:textId="77777777" w:rsidR="00E36D06" w:rsidRPr="003C738A" w:rsidRDefault="00E36D06" w:rsidP="00C953A7">
            <w:pPr>
              <w:jc w:val="center"/>
              <w:rPr>
                <w:rFonts w:cstheme="minorHAnsi"/>
              </w:rPr>
            </w:pPr>
            <w:r w:rsidRPr="003C738A">
              <w:rPr>
                <w:rFonts w:cstheme="minorHAnsi"/>
              </w:rPr>
              <w:t>Wealth index combined</w:t>
            </w:r>
          </w:p>
        </w:tc>
        <w:tc>
          <w:tcPr>
            <w:tcW w:w="2625" w:type="dxa"/>
            <w:tcBorders>
              <w:top w:val="single" w:sz="4" w:space="0" w:color="auto"/>
              <w:left w:val="single" w:sz="4" w:space="0" w:color="auto"/>
              <w:bottom w:val="single" w:sz="4" w:space="0" w:color="auto"/>
              <w:right w:val="single" w:sz="4" w:space="0" w:color="auto"/>
            </w:tcBorders>
            <w:vAlign w:val="center"/>
            <w:hideMark/>
          </w:tcPr>
          <w:p w14:paraId="1CD02B2C" w14:textId="77777777" w:rsidR="00E36D06" w:rsidRPr="003C738A" w:rsidRDefault="00E36D06" w:rsidP="00C953A7">
            <w:pPr>
              <w:jc w:val="center"/>
              <w:rPr>
                <w:rFonts w:cstheme="minorHAnsi"/>
                <w:sz w:val="18"/>
                <w:szCs w:val="18"/>
              </w:rPr>
            </w:pPr>
            <w:r w:rsidRPr="003C738A">
              <w:rPr>
                <w:rFonts w:cstheme="minorHAnsi"/>
                <w:sz w:val="18"/>
                <w:szCs w:val="18"/>
              </w:rPr>
              <w:t>Poorest</w:t>
            </w:r>
          </w:p>
        </w:tc>
        <w:tc>
          <w:tcPr>
            <w:tcW w:w="1618" w:type="dxa"/>
            <w:tcBorders>
              <w:top w:val="single" w:sz="4" w:space="0" w:color="auto"/>
              <w:left w:val="single" w:sz="4" w:space="0" w:color="auto"/>
              <w:bottom w:val="single" w:sz="4" w:space="0" w:color="auto"/>
              <w:right w:val="single" w:sz="4" w:space="0" w:color="auto"/>
            </w:tcBorders>
            <w:vAlign w:val="center"/>
          </w:tcPr>
          <w:p w14:paraId="7914F52C" w14:textId="77777777" w:rsidR="00E36D06" w:rsidRPr="003C738A" w:rsidRDefault="00E36D06" w:rsidP="00C953A7">
            <w:pPr>
              <w:jc w:val="center"/>
              <w:rPr>
                <w:rFonts w:cstheme="minorHAnsi"/>
                <w:sz w:val="18"/>
                <w:szCs w:val="18"/>
              </w:rPr>
            </w:pPr>
            <w:r w:rsidRPr="003C738A">
              <w:rPr>
                <w:rFonts w:cstheme="minorHAnsi"/>
                <w:sz w:val="18"/>
                <w:szCs w:val="18"/>
              </w:rPr>
              <w:t>258.1(68.24)</w:t>
            </w:r>
          </w:p>
        </w:tc>
        <w:tc>
          <w:tcPr>
            <w:tcW w:w="1618" w:type="dxa"/>
            <w:tcBorders>
              <w:top w:val="single" w:sz="4" w:space="0" w:color="auto"/>
              <w:left w:val="single" w:sz="4" w:space="0" w:color="auto"/>
              <w:bottom w:val="single" w:sz="4" w:space="0" w:color="auto"/>
              <w:right w:val="single" w:sz="4" w:space="0" w:color="auto"/>
            </w:tcBorders>
            <w:vAlign w:val="center"/>
          </w:tcPr>
          <w:p w14:paraId="340E900C" w14:textId="77777777" w:rsidR="00E36D06" w:rsidRPr="003C738A" w:rsidRDefault="00E36D06" w:rsidP="00C953A7">
            <w:pPr>
              <w:jc w:val="center"/>
              <w:rPr>
                <w:rFonts w:cstheme="minorHAnsi"/>
                <w:sz w:val="18"/>
                <w:szCs w:val="18"/>
              </w:rPr>
            </w:pPr>
            <w:r w:rsidRPr="003C738A">
              <w:rPr>
                <w:rFonts w:cstheme="minorHAnsi"/>
                <w:sz w:val="18"/>
                <w:szCs w:val="18"/>
              </w:rPr>
              <w:t>120.1(31.76)</w:t>
            </w:r>
          </w:p>
        </w:tc>
        <w:tc>
          <w:tcPr>
            <w:tcW w:w="1619" w:type="dxa"/>
            <w:vMerge w:val="restart"/>
            <w:tcBorders>
              <w:top w:val="single" w:sz="4" w:space="0" w:color="auto"/>
              <w:left w:val="single" w:sz="4" w:space="0" w:color="auto"/>
              <w:right w:val="single" w:sz="4" w:space="0" w:color="auto"/>
            </w:tcBorders>
            <w:vAlign w:val="center"/>
          </w:tcPr>
          <w:p w14:paraId="2DB8E7F7" w14:textId="77777777" w:rsidR="00E36D06" w:rsidRPr="003C738A" w:rsidRDefault="00E36D06" w:rsidP="00C953A7">
            <w:pPr>
              <w:jc w:val="center"/>
              <w:rPr>
                <w:rFonts w:cstheme="minorHAnsi"/>
                <w:b/>
                <w:bCs/>
                <w:sz w:val="18"/>
                <w:szCs w:val="18"/>
              </w:rPr>
            </w:pPr>
            <w:r w:rsidRPr="003C738A">
              <w:rPr>
                <w:rFonts w:cstheme="minorHAnsi"/>
                <w:b/>
                <w:bCs/>
                <w:sz w:val="18"/>
                <w:szCs w:val="18"/>
              </w:rPr>
              <w:t>0.01</w:t>
            </w:r>
          </w:p>
        </w:tc>
      </w:tr>
      <w:tr w:rsidR="00E36D06" w:rsidRPr="003C738A" w14:paraId="3CF3C533"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209BEAB1"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18875C13" w14:textId="77777777" w:rsidR="00E36D06" w:rsidRPr="003C738A" w:rsidRDefault="00E36D06" w:rsidP="00C953A7">
            <w:pPr>
              <w:jc w:val="center"/>
              <w:rPr>
                <w:rFonts w:cstheme="minorHAnsi"/>
                <w:sz w:val="18"/>
                <w:szCs w:val="18"/>
              </w:rPr>
            </w:pPr>
            <w:r w:rsidRPr="003C738A">
              <w:rPr>
                <w:rFonts w:cstheme="minorHAnsi"/>
                <w:sz w:val="18"/>
                <w:szCs w:val="18"/>
              </w:rPr>
              <w:t>Poorer</w:t>
            </w:r>
          </w:p>
        </w:tc>
        <w:tc>
          <w:tcPr>
            <w:tcW w:w="1618" w:type="dxa"/>
            <w:tcBorders>
              <w:top w:val="single" w:sz="4" w:space="0" w:color="auto"/>
              <w:left w:val="single" w:sz="4" w:space="0" w:color="auto"/>
              <w:bottom w:val="single" w:sz="4" w:space="0" w:color="auto"/>
              <w:right w:val="single" w:sz="4" w:space="0" w:color="auto"/>
            </w:tcBorders>
            <w:vAlign w:val="center"/>
          </w:tcPr>
          <w:p w14:paraId="1BE3FB3A" w14:textId="77777777" w:rsidR="00E36D06" w:rsidRPr="003C738A" w:rsidRDefault="00E36D06" w:rsidP="00C953A7">
            <w:pPr>
              <w:jc w:val="center"/>
              <w:rPr>
                <w:rFonts w:cstheme="minorHAnsi"/>
                <w:sz w:val="18"/>
                <w:szCs w:val="18"/>
              </w:rPr>
            </w:pPr>
            <w:r w:rsidRPr="003C738A">
              <w:rPr>
                <w:rFonts w:cstheme="minorHAnsi"/>
                <w:sz w:val="18"/>
                <w:szCs w:val="18"/>
              </w:rPr>
              <w:t>245.2(71.41)</w:t>
            </w:r>
          </w:p>
        </w:tc>
        <w:tc>
          <w:tcPr>
            <w:tcW w:w="1618" w:type="dxa"/>
            <w:tcBorders>
              <w:top w:val="single" w:sz="4" w:space="0" w:color="auto"/>
              <w:left w:val="single" w:sz="4" w:space="0" w:color="auto"/>
              <w:bottom w:val="single" w:sz="4" w:space="0" w:color="auto"/>
              <w:right w:val="single" w:sz="4" w:space="0" w:color="auto"/>
            </w:tcBorders>
            <w:vAlign w:val="center"/>
          </w:tcPr>
          <w:p w14:paraId="1429AE00" w14:textId="77777777" w:rsidR="00E36D06" w:rsidRPr="003C738A" w:rsidRDefault="00E36D06" w:rsidP="00C953A7">
            <w:pPr>
              <w:jc w:val="center"/>
              <w:rPr>
                <w:rFonts w:cstheme="minorHAnsi"/>
                <w:sz w:val="18"/>
                <w:szCs w:val="18"/>
              </w:rPr>
            </w:pPr>
            <w:r w:rsidRPr="003C738A">
              <w:rPr>
                <w:rFonts w:cstheme="minorHAnsi"/>
                <w:sz w:val="18"/>
                <w:szCs w:val="18"/>
              </w:rPr>
              <w:t>98.14(28.59)</w:t>
            </w:r>
          </w:p>
        </w:tc>
        <w:tc>
          <w:tcPr>
            <w:tcW w:w="1619" w:type="dxa"/>
            <w:vMerge/>
            <w:tcBorders>
              <w:left w:val="single" w:sz="4" w:space="0" w:color="auto"/>
              <w:right w:val="single" w:sz="4" w:space="0" w:color="auto"/>
            </w:tcBorders>
            <w:vAlign w:val="center"/>
          </w:tcPr>
          <w:p w14:paraId="1E04E5E2" w14:textId="77777777" w:rsidR="00E36D06" w:rsidRPr="003C738A" w:rsidRDefault="00E36D06" w:rsidP="00C953A7">
            <w:pPr>
              <w:jc w:val="center"/>
              <w:rPr>
                <w:rFonts w:cstheme="minorHAnsi"/>
                <w:sz w:val="18"/>
                <w:szCs w:val="18"/>
              </w:rPr>
            </w:pPr>
          </w:p>
        </w:tc>
      </w:tr>
      <w:tr w:rsidR="00E36D06" w:rsidRPr="003C738A" w14:paraId="08738E1C"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6EE114E9"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4BEC1140" w14:textId="77777777" w:rsidR="00E36D06" w:rsidRPr="003C738A" w:rsidRDefault="00E36D06" w:rsidP="00C953A7">
            <w:pPr>
              <w:jc w:val="center"/>
              <w:rPr>
                <w:rFonts w:cstheme="minorHAnsi"/>
                <w:sz w:val="18"/>
                <w:szCs w:val="18"/>
              </w:rPr>
            </w:pPr>
            <w:r w:rsidRPr="003C738A">
              <w:rPr>
                <w:rFonts w:cstheme="minorHAnsi"/>
                <w:sz w:val="18"/>
                <w:szCs w:val="18"/>
              </w:rPr>
              <w:t>Middle</w:t>
            </w:r>
          </w:p>
        </w:tc>
        <w:tc>
          <w:tcPr>
            <w:tcW w:w="1618" w:type="dxa"/>
            <w:tcBorders>
              <w:top w:val="single" w:sz="4" w:space="0" w:color="auto"/>
              <w:left w:val="single" w:sz="4" w:space="0" w:color="auto"/>
              <w:bottom w:val="single" w:sz="4" w:space="0" w:color="auto"/>
              <w:right w:val="single" w:sz="4" w:space="0" w:color="auto"/>
            </w:tcBorders>
            <w:vAlign w:val="center"/>
          </w:tcPr>
          <w:p w14:paraId="3A5E9F97" w14:textId="77777777" w:rsidR="00E36D06" w:rsidRPr="003C738A" w:rsidRDefault="00E36D06" w:rsidP="00C953A7">
            <w:pPr>
              <w:jc w:val="center"/>
              <w:rPr>
                <w:rFonts w:cstheme="minorHAnsi"/>
                <w:sz w:val="18"/>
                <w:szCs w:val="18"/>
              </w:rPr>
            </w:pPr>
            <w:r w:rsidRPr="003C738A">
              <w:rPr>
                <w:rFonts w:cstheme="minorHAnsi"/>
                <w:sz w:val="18"/>
                <w:szCs w:val="18"/>
              </w:rPr>
              <w:t>198.9(64.94)</w:t>
            </w:r>
          </w:p>
        </w:tc>
        <w:tc>
          <w:tcPr>
            <w:tcW w:w="1618" w:type="dxa"/>
            <w:tcBorders>
              <w:top w:val="single" w:sz="4" w:space="0" w:color="auto"/>
              <w:left w:val="single" w:sz="4" w:space="0" w:color="auto"/>
              <w:bottom w:val="single" w:sz="4" w:space="0" w:color="auto"/>
              <w:right w:val="single" w:sz="4" w:space="0" w:color="auto"/>
            </w:tcBorders>
            <w:vAlign w:val="center"/>
          </w:tcPr>
          <w:p w14:paraId="5B1D2771" w14:textId="77777777" w:rsidR="00E36D06" w:rsidRPr="003C738A" w:rsidRDefault="00E36D06" w:rsidP="00C953A7">
            <w:pPr>
              <w:jc w:val="center"/>
              <w:rPr>
                <w:rFonts w:cstheme="minorHAnsi"/>
                <w:sz w:val="18"/>
                <w:szCs w:val="18"/>
              </w:rPr>
            </w:pPr>
            <w:r w:rsidRPr="003C738A">
              <w:rPr>
                <w:rFonts w:cstheme="minorHAnsi"/>
                <w:sz w:val="18"/>
                <w:szCs w:val="18"/>
              </w:rPr>
              <w:t>107.3(35.06)</w:t>
            </w:r>
          </w:p>
        </w:tc>
        <w:tc>
          <w:tcPr>
            <w:tcW w:w="1619" w:type="dxa"/>
            <w:vMerge/>
            <w:tcBorders>
              <w:left w:val="single" w:sz="4" w:space="0" w:color="auto"/>
              <w:right w:val="single" w:sz="4" w:space="0" w:color="auto"/>
            </w:tcBorders>
            <w:vAlign w:val="center"/>
          </w:tcPr>
          <w:p w14:paraId="087EEDC0" w14:textId="77777777" w:rsidR="00E36D06" w:rsidRPr="003C738A" w:rsidRDefault="00E36D06" w:rsidP="00C953A7">
            <w:pPr>
              <w:jc w:val="center"/>
              <w:rPr>
                <w:rFonts w:cstheme="minorHAnsi"/>
                <w:sz w:val="18"/>
                <w:szCs w:val="18"/>
              </w:rPr>
            </w:pPr>
          </w:p>
        </w:tc>
      </w:tr>
      <w:tr w:rsidR="00E36D06" w:rsidRPr="003C738A" w14:paraId="2498277E"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541F73DB"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55AC6E6D" w14:textId="77777777" w:rsidR="00E36D06" w:rsidRPr="003C738A" w:rsidRDefault="00E36D06" w:rsidP="00C953A7">
            <w:pPr>
              <w:jc w:val="center"/>
              <w:rPr>
                <w:rFonts w:cstheme="minorHAnsi"/>
                <w:sz w:val="18"/>
                <w:szCs w:val="18"/>
              </w:rPr>
            </w:pPr>
            <w:r w:rsidRPr="003C738A">
              <w:rPr>
                <w:rFonts w:cstheme="minorHAnsi"/>
                <w:sz w:val="18"/>
                <w:szCs w:val="18"/>
              </w:rPr>
              <w:t>Richer</w:t>
            </w:r>
          </w:p>
        </w:tc>
        <w:tc>
          <w:tcPr>
            <w:tcW w:w="1618" w:type="dxa"/>
            <w:tcBorders>
              <w:top w:val="single" w:sz="4" w:space="0" w:color="auto"/>
              <w:left w:val="single" w:sz="4" w:space="0" w:color="auto"/>
              <w:bottom w:val="single" w:sz="4" w:space="0" w:color="auto"/>
              <w:right w:val="single" w:sz="4" w:space="0" w:color="auto"/>
            </w:tcBorders>
            <w:vAlign w:val="center"/>
          </w:tcPr>
          <w:p w14:paraId="53152B94" w14:textId="77777777" w:rsidR="00E36D06" w:rsidRPr="003C738A" w:rsidRDefault="00E36D06" w:rsidP="00C953A7">
            <w:pPr>
              <w:jc w:val="center"/>
              <w:rPr>
                <w:rFonts w:cstheme="minorHAnsi"/>
                <w:sz w:val="18"/>
                <w:szCs w:val="18"/>
              </w:rPr>
            </w:pPr>
            <w:r w:rsidRPr="003C738A">
              <w:rPr>
                <w:rFonts w:cstheme="minorHAnsi"/>
                <w:sz w:val="18"/>
                <w:szCs w:val="18"/>
              </w:rPr>
              <w:t>188.8(64.43)</w:t>
            </w:r>
          </w:p>
        </w:tc>
        <w:tc>
          <w:tcPr>
            <w:tcW w:w="1618" w:type="dxa"/>
            <w:tcBorders>
              <w:top w:val="single" w:sz="4" w:space="0" w:color="auto"/>
              <w:left w:val="single" w:sz="4" w:space="0" w:color="auto"/>
              <w:bottom w:val="single" w:sz="4" w:space="0" w:color="auto"/>
              <w:right w:val="single" w:sz="4" w:space="0" w:color="auto"/>
            </w:tcBorders>
            <w:vAlign w:val="center"/>
          </w:tcPr>
          <w:p w14:paraId="6E35C0C1" w14:textId="77777777" w:rsidR="00E36D06" w:rsidRPr="003C738A" w:rsidRDefault="00E36D06" w:rsidP="00C953A7">
            <w:pPr>
              <w:jc w:val="center"/>
              <w:rPr>
                <w:rFonts w:cstheme="minorHAnsi"/>
                <w:sz w:val="18"/>
                <w:szCs w:val="18"/>
              </w:rPr>
            </w:pPr>
            <w:r w:rsidRPr="003C738A">
              <w:rPr>
                <w:rFonts w:cstheme="minorHAnsi"/>
                <w:sz w:val="18"/>
                <w:szCs w:val="18"/>
              </w:rPr>
              <w:t>104.2(35.57)</w:t>
            </w:r>
          </w:p>
        </w:tc>
        <w:tc>
          <w:tcPr>
            <w:tcW w:w="1619" w:type="dxa"/>
            <w:vMerge/>
            <w:tcBorders>
              <w:left w:val="single" w:sz="4" w:space="0" w:color="auto"/>
              <w:right w:val="single" w:sz="4" w:space="0" w:color="auto"/>
            </w:tcBorders>
            <w:vAlign w:val="center"/>
          </w:tcPr>
          <w:p w14:paraId="1F308CD9" w14:textId="77777777" w:rsidR="00E36D06" w:rsidRPr="003C738A" w:rsidRDefault="00E36D06" w:rsidP="00C953A7">
            <w:pPr>
              <w:jc w:val="center"/>
              <w:rPr>
                <w:rFonts w:cstheme="minorHAnsi"/>
                <w:sz w:val="18"/>
                <w:szCs w:val="18"/>
              </w:rPr>
            </w:pPr>
          </w:p>
        </w:tc>
      </w:tr>
      <w:tr w:rsidR="00E36D06" w:rsidRPr="003C738A" w14:paraId="6844ABC7"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7C2FCB43"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5095B5E9" w14:textId="77777777" w:rsidR="00E36D06" w:rsidRPr="003C738A" w:rsidRDefault="00E36D06" w:rsidP="00C953A7">
            <w:pPr>
              <w:jc w:val="center"/>
              <w:rPr>
                <w:rFonts w:cstheme="minorHAnsi"/>
                <w:sz w:val="18"/>
                <w:szCs w:val="18"/>
              </w:rPr>
            </w:pPr>
            <w:r w:rsidRPr="003C738A">
              <w:rPr>
                <w:rFonts w:cstheme="minorHAnsi"/>
                <w:sz w:val="18"/>
                <w:szCs w:val="18"/>
              </w:rPr>
              <w:t>Richest</w:t>
            </w:r>
          </w:p>
        </w:tc>
        <w:tc>
          <w:tcPr>
            <w:tcW w:w="1618" w:type="dxa"/>
            <w:tcBorders>
              <w:top w:val="single" w:sz="4" w:space="0" w:color="auto"/>
              <w:left w:val="single" w:sz="4" w:space="0" w:color="auto"/>
              <w:bottom w:val="single" w:sz="4" w:space="0" w:color="auto"/>
              <w:right w:val="single" w:sz="4" w:space="0" w:color="auto"/>
            </w:tcBorders>
            <w:vAlign w:val="center"/>
          </w:tcPr>
          <w:p w14:paraId="1A708D21" w14:textId="77777777" w:rsidR="00E36D06" w:rsidRPr="003C738A" w:rsidRDefault="00E36D06" w:rsidP="00C953A7">
            <w:pPr>
              <w:jc w:val="center"/>
              <w:rPr>
                <w:rFonts w:cstheme="minorHAnsi"/>
                <w:sz w:val="18"/>
                <w:szCs w:val="18"/>
              </w:rPr>
            </w:pPr>
            <w:r w:rsidRPr="003C738A">
              <w:rPr>
                <w:rFonts w:cstheme="minorHAnsi"/>
                <w:sz w:val="18"/>
                <w:szCs w:val="18"/>
              </w:rPr>
              <w:t>111.3(53.71)</w:t>
            </w:r>
          </w:p>
        </w:tc>
        <w:tc>
          <w:tcPr>
            <w:tcW w:w="1618" w:type="dxa"/>
            <w:tcBorders>
              <w:top w:val="single" w:sz="4" w:space="0" w:color="auto"/>
              <w:left w:val="single" w:sz="4" w:space="0" w:color="auto"/>
              <w:bottom w:val="single" w:sz="4" w:space="0" w:color="auto"/>
              <w:right w:val="single" w:sz="4" w:space="0" w:color="auto"/>
            </w:tcBorders>
            <w:vAlign w:val="center"/>
          </w:tcPr>
          <w:p w14:paraId="6AE2EA86" w14:textId="77777777" w:rsidR="00E36D06" w:rsidRPr="003C738A" w:rsidRDefault="00E36D06" w:rsidP="00C953A7">
            <w:pPr>
              <w:jc w:val="center"/>
              <w:rPr>
                <w:rFonts w:cstheme="minorHAnsi"/>
                <w:sz w:val="18"/>
                <w:szCs w:val="18"/>
              </w:rPr>
            </w:pPr>
            <w:r w:rsidRPr="003C738A">
              <w:rPr>
                <w:rFonts w:cstheme="minorHAnsi"/>
                <w:sz w:val="18"/>
                <w:szCs w:val="18"/>
              </w:rPr>
              <w:t>95.92(46.29)</w:t>
            </w:r>
          </w:p>
        </w:tc>
        <w:tc>
          <w:tcPr>
            <w:tcW w:w="1619" w:type="dxa"/>
            <w:vMerge/>
            <w:tcBorders>
              <w:left w:val="single" w:sz="4" w:space="0" w:color="auto"/>
              <w:bottom w:val="single" w:sz="4" w:space="0" w:color="auto"/>
              <w:right w:val="single" w:sz="4" w:space="0" w:color="auto"/>
            </w:tcBorders>
            <w:vAlign w:val="center"/>
          </w:tcPr>
          <w:p w14:paraId="1E4C1815" w14:textId="77777777" w:rsidR="00E36D06" w:rsidRPr="003C738A" w:rsidRDefault="00E36D06" w:rsidP="00C953A7">
            <w:pPr>
              <w:jc w:val="center"/>
              <w:rPr>
                <w:rFonts w:cstheme="minorHAnsi"/>
                <w:sz w:val="18"/>
                <w:szCs w:val="18"/>
              </w:rPr>
            </w:pPr>
          </w:p>
        </w:tc>
      </w:tr>
      <w:tr w:rsidR="00E36D06" w:rsidRPr="003C738A" w14:paraId="204D5ADF" w14:textId="77777777" w:rsidTr="00C953A7">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2D7EDC71" w14:textId="77777777" w:rsidR="00E36D06" w:rsidRPr="003C738A" w:rsidRDefault="00E36D06" w:rsidP="00C953A7">
            <w:pPr>
              <w:jc w:val="center"/>
              <w:rPr>
                <w:rFonts w:cstheme="minorHAnsi"/>
              </w:rPr>
            </w:pPr>
            <w:r w:rsidRPr="003C738A">
              <w:rPr>
                <w:rFonts w:cstheme="minorHAnsi"/>
              </w:rPr>
              <w:t>Delivery by caesarean section</w:t>
            </w:r>
          </w:p>
        </w:tc>
        <w:tc>
          <w:tcPr>
            <w:tcW w:w="2625" w:type="dxa"/>
            <w:tcBorders>
              <w:top w:val="single" w:sz="4" w:space="0" w:color="auto"/>
              <w:left w:val="single" w:sz="4" w:space="0" w:color="auto"/>
              <w:bottom w:val="single" w:sz="4" w:space="0" w:color="auto"/>
              <w:right w:val="single" w:sz="4" w:space="0" w:color="auto"/>
            </w:tcBorders>
            <w:vAlign w:val="center"/>
            <w:hideMark/>
          </w:tcPr>
          <w:p w14:paraId="76DBAB25" w14:textId="77777777" w:rsidR="00E36D06" w:rsidRPr="003C738A" w:rsidRDefault="00E36D06" w:rsidP="00C953A7">
            <w:pPr>
              <w:jc w:val="center"/>
              <w:rPr>
                <w:rFonts w:cstheme="minorHAnsi"/>
                <w:sz w:val="18"/>
                <w:szCs w:val="18"/>
              </w:rPr>
            </w:pPr>
            <w:r w:rsidRPr="003C738A">
              <w:rPr>
                <w:rFonts w:cstheme="minorHAnsi"/>
                <w:sz w:val="18"/>
                <w:szCs w:val="18"/>
              </w:rPr>
              <w:t>No</w:t>
            </w:r>
          </w:p>
        </w:tc>
        <w:tc>
          <w:tcPr>
            <w:tcW w:w="1618" w:type="dxa"/>
            <w:tcBorders>
              <w:top w:val="single" w:sz="4" w:space="0" w:color="auto"/>
              <w:left w:val="single" w:sz="4" w:space="0" w:color="auto"/>
              <w:bottom w:val="single" w:sz="4" w:space="0" w:color="auto"/>
              <w:right w:val="single" w:sz="4" w:space="0" w:color="auto"/>
            </w:tcBorders>
            <w:vAlign w:val="center"/>
          </w:tcPr>
          <w:p w14:paraId="6441B14F" w14:textId="77777777" w:rsidR="00E36D06" w:rsidRPr="003C738A" w:rsidRDefault="00E36D06" w:rsidP="00C953A7">
            <w:pPr>
              <w:jc w:val="center"/>
              <w:rPr>
                <w:rFonts w:cstheme="minorHAnsi"/>
                <w:sz w:val="18"/>
                <w:szCs w:val="18"/>
              </w:rPr>
            </w:pPr>
            <w:r w:rsidRPr="003C738A">
              <w:rPr>
                <w:rFonts w:cstheme="minorHAnsi"/>
                <w:sz w:val="18"/>
                <w:szCs w:val="18"/>
              </w:rPr>
              <w:t>498.3(67.36)</w:t>
            </w:r>
          </w:p>
        </w:tc>
        <w:tc>
          <w:tcPr>
            <w:tcW w:w="1618" w:type="dxa"/>
            <w:tcBorders>
              <w:top w:val="single" w:sz="4" w:space="0" w:color="auto"/>
              <w:left w:val="single" w:sz="4" w:space="0" w:color="auto"/>
              <w:bottom w:val="single" w:sz="4" w:space="0" w:color="auto"/>
              <w:right w:val="single" w:sz="4" w:space="0" w:color="auto"/>
            </w:tcBorders>
            <w:vAlign w:val="center"/>
          </w:tcPr>
          <w:p w14:paraId="473C221A" w14:textId="77777777" w:rsidR="00E36D06" w:rsidRPr="003C738A" w:rsidRDefault="00E36D06" w:rsidP="00C953A7">
            <w:pPr>
              <w:jc w:val="center"/>
              <w:rPr>
                <w:rFonts w:cstheme="minorHAnsi"/>
                <w:sz w:val="18"/>
                <w:szCs w:val="18"/>
              </w:rPr>
            </w:pPr>
            <w:r w:rsidRPr="003C738A">
              <w:rPr>
                <w:rFonts w:cstheme="minorHAnsi"/>
                <w:sz w:val="18"/>
                <w:szCs w:val="18"/>
              </w:rPr>
              <w:t>241.5(32.64)</w:t>
            </w:r>
          </w:p>
        </w:tc>
        <w:tc>
          <w:tcPr>
            <w:tcW w:w="1619" w:type="dxa"/>
            <w:vMerge w:val="restart"/>
            <w:tcBorders>
              <w:top w:val="single" w:sz="4" w:space="0" w:color="auto"/>
              <w:left w:val="single" w:sz="4" w:space="0" w:color="auto"/>
              <w:right w:val="single" w:sz="4" w:space="0" w:color="auto"/>
            </w:tcBorders>
            <w:vAlign w:val="center"/>
          </w:tcPr>
          <w:p w14:paraId="68F529B1" w14:textId="77777777" w:rsidR="00E36D06" w:rsidRPr="003C738A" w:rsidRDefault="00E36D06" w:rsidP="00C953A7">
            <w:pPr>
              <w:jc w:val="center"/>
              <w:rPr>
                <w:rFonts w:cstheme="minorHAnsi"/>
                <w:b/>
                <w:bCs/>
                <w:sz w:val="18"/>
                <w:szCs w:val="18"/>
              </w:rPr>
            </w:pPr>
            <w:r w:rsidRPr="00D57B1B">
              <w:rPr>
                <w:rFonts w:cstheme="minorHAnsi"/>
                <w:b/>
                <w:bCs/>
                <w:sz w:val="18"/>
                <w:szCs w:val="18"/>
              </w:rPr>
              <w:t>0.0397</w:t>
            </w:r>
          </w:p>
        </w:tc>
      </w:tr>
      <w:tr w:rsidR="00E36D06" w:rsidRPr="003C738A" w14:paraId="014E8957"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52A3E23F" w14:textId="77777777" w:rsidR="00E36D06" w:rsidRPr="003C738A" w:rsidRDefault="00E36D06" w:rsidP="00C953A7">
            <w:pPr>
              <w:jc w:val="center"/>
              <w:rPr>
                <w:rFonts w:cstheme="minorHAnsi"/>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742B5E6E" w14:textId="77777777" w:rsidR="00E36D06" w:rsidRPr="003C738A" w:rsidRDefault="00E36D06" w:rsidP="00C953A7">
            <w:pPr>
              <w:jc w:val="center"/>
              <w:rPr>
                <w:rFonts w:cstheme="minorHAnsi"/>
                <w:sz w:val="18"/>
                <w:szCs w:val="18"/>
              </w:rPr>
            </w:pPr>
            <w:r w:rsidRPr="003C738A">
              <w:rPr>
                <w:rFonts w:cstheme="minorHAnsi"/>
                <w:sz w:val="18"/>
                <w:szCs w:val="18"/>
              </w:rPr>
              <w:t>Yes</w:t>
            </w:r>
          </w:p>
        </w:tc>
        <w:tc>
          <w:tcPr>
            <w:tcW w:w="1618" w:type="dxa"/>
            <w:tcBorders>
              <w:top w:val="single" w:sz="4" w:space="0" w:color="auto"/>
              <w:left w:val="single" w:sz="4" w:space="0" w:color="auto"/>
              <w:bottom w:val="single" w:sz="4" w:space="0" w:color="auto"/>
              <w:right w:val="single" w:sz="4" w:space="0" w:color="auto"/>
            </w:tcBorders>
            <w:vAlign w:val="center"/>
          </w:tcPr>
          <w:p w14:paraId="3ED2901B" w14:textId="77777777" w:rsidR="00E36D06" w:rsidRPr="003C738A" w:rsidRDefault="00E36D06" w:rsidP="00C953A7">
            <w:pPr>
              <w:jc w:val="center"/>
              <w:rPr>
                <w:rFonts w:cstheme="minorHAnsi"/>
                <w:sz w:val="18"/>
                <w:szCs w:val="18"/>
              </w:rPr>
            </w:pPr>
            <w:r w:rsidRPr="003C738A">
              <w:rPr>
                <w:rFonts w:cstheme="minorHAnsi"/>
                <w:sz w:val="18"/>
                <w:szCs w:val="18"/>
              </w:rPr>
              <w:t>161.6(58.59)</w:t>
            </w:r>
          </w:p>
        </w:tc>
        <w:tc>
          <w:tcPr>
            <w:tcW w:w="1618" w:type="dxa"/>
            <w:tcBorders>
              <w:top w:val="single" w:sz="4" w:space="0" w:color="auto"/>
              <w:left w:val="single" w:sz="4" w:space="0" w:color="auto"/>
              <w:bottom w:val="single" w:sz="4" w:space="0" w:color="auto"/>
              <w:right w:val="single" w:sz="4" w:space="0" w:color="auto"/>
            </w:tcBorders>
            <w:vAlign w:val="center"/>
          </w:tcPr>
          <w:p w14:paraId="2EEF3640" w14:textId="77777777" w:rsidR="00E36D06" w:rsidRPr="003C738A" w:rsidRDefault="00E36D06" w:rsidP="00C953A7">
            <w:pPr>
              <w:jc w:val="center"/>
              <w:rPr>
                <w:rFonts w:cstheme="minorHAnsi"/>
                <w:sz w:val="18"/>
                <w:szCs w:val="18"/>
              </w:rPr>
            </w:pPr>
            <w:r w:rsidRPr="003C738A">
              <w:rPr>
                <w:rFonts w:cstheme="minorHAnsi"/>
                <w:sz w:val="18"/>
                <w:szCs w:val="18"/>
              </w:rPr>
              <w:t>114.2(41.41)</w:t>
            </w:r>
          </w:p>
        </w:tc>
        <w:tc>
          <w:tcPr>
            <w:tcW w:w="1619" w:type="dxa"/>
            <w:vMerge/>
            <w:tcBorders>
              <w:left w:val="single" w:sz="4" w:space="0" w:color="auto"/>
              <w:bottom w:val="single" w:sz="4" w:space="0" w:color="auto"/>
              <w:right w:val="single" w:sz="4" w:space="0" w:color="auto"/>
            </w:tcBorders>
            <w:vAlign w:val="center"/>
          </w:tcPr>
          <w:p w14:paraId="2A00F1F2" w14:textId="77777777" w:rsidR="00E36D06" w:rsidRPr="003C738A" w:rsidRDefault="00E36D06" w:rsidP="00C953A7">
            <w:pPr>
              <w:rPr>
                <w:rFonts w:cstheme="minorHAnsi"/>
                <w:b/>
                <w:bCs/>
                <w:sz w:val="18"/>
                <w:szCs w:val="18"/>
              </w:rPr>
            </w:pPr>
          </w:p>
        </w:tc>
      </w:tr>
      <w:tr w:rsidR="00E36D06" w:rsidRPr="003C738A" w14:paraId="323F191F" w14:textId="77777777" w:rsidTr="00C953A7">
        <w:tc>
          <w:tcPr>
            <w:tcW w:w="1870" w:type="dxa"/>
            <w:vMerge w:val="restart"/>
            <w:tcBorders>
              <w:top w:val="single" w:sz="4" w:space="0" w:color="auto"/>
              <w:left w:val="single" w:sz="4" w:space="0" w:color="auto"/>
              <w:right w:val="single" w:sz="4" w:space="0" w:color="auto"/>
            </w:tcBorders>
            <w:vAlign w:val="center"/>
          </w:tcPr>
          <w:p w14:paraId="3CF77977" w14:textId="77777777" w:rsidR="00E36D06" w:rsidRPr="003C738A" w:rsidRDefault="00E36D06" w:rsidP="00C953A7">
            <w:pPr>
              <w:jc w:val="center"/>
              <w:rPr>
                <w:rFonts w:cstheme="minorHAnsi"/>
                <w:sz w:val="18"/>
                <w:szCs w:val="18"/>
              </w:rPr>
            </w:pPr>
            <w:r w:rsidRPr="003C738A">
              <w:rPr>
                <w:rFonts w:cstheme="minorHAnsi"/>
                <w:sz w:val="18"/>
                <w:szCs w:val="18"/>
              </w:rPr>
              <w:t>Had Diarrhea Recently</w:t>
            </w:r>
          </w:p>
        </w:tc>
        <w:tc>
          <w:tcPr>
            <w:tcW w:w="2625" w:type="dxa"/>
            <w:tcBorders>
              <w:top w:val="single" w:sz="4" w:space="0" w:color="auto"/>
              <w:left w:val="single" w:sz="4" w:space="0" w:color="auto"/>
              <w:bottom w:val="single" w:sz="4" w:space="0" w:color="auto"/>
              <w:right w:val="single" w:sz="4" w:space="0" w:color="auto"/>
            </w:tcBorders>
            <w:vAlign w:val="center"/>
          </w:tcPr>
          <w:p w14:paraId="7CFBA02C" w14:textId="77777777" w:rsidR="00E36D06" w:rsidRPr="003C738A" w:rsidRDefault="00E36D06" w:rsidP="00C953A7">
            <w:pPr>
              <w:jc w:val="center"/>
              <w:rPr>
                <w:rFonts w:cstheme="minorHAnsi"/>
                <w:sz w:val="18"/>
                <w:szCs w:val="18"/>
              </w:rPr>
            </w:pPr>
            <w:r w:rsidRPr="003C738A">
              <w:rPr>
                <w:rFonts w:cstheme="minorHAnsi"/>
                <w:sz w:val="18"/>
                <w:szCs w:val="18"/>
              </w:rPr>
              <w:t>No</w:t>
            </w:r>
          </w:p>
        </w:tc>
        <w:tc>
          <w:tcPr>
            <w:tcW w:w="1618" w:type="dxa"/>
            <w:tcBorders>
              <w:top w:val="single" w:sz="4" w:space="0" w:color="auto"/>
              <w:left w:val="single" w:sz="4" w:space="0" w:color="auto"/>
              <w:bottom w:val="single" w:sz="4" w:space="0" w:color="auto"/>
              <w:right w:val="single" w:sz="4" w:space="0" w:color="auto"/>
            </w:tcBorders>
            <w:vAlign w:val="center"/>
          </w:tcPr>
          <w:p w14:paraId="5C3CAA66" w14:textId="77777777" w:rsidR="00E36D06" w:rsidRPr="003C738A" w:rsidRDefault="00E36D06" w:rsidP="00C953A7">
            <w:pPr>
              <w:jc w:val="center"/>
              <w:rPr>
                <w:rFonts w:cstheme="minorHAnsi"/>
                <w:sz w:val="18"/>
                <w:szCs w:val="18"/>
              </w:rPr>
            </w:pPr>
            <w:r w:rsidRPr="003C738A">
              <w:rPr>
                <w:rFonts w:cstheme="minorHAnsi"/>
                <w:sz w:val="18"/>
                <w:szCs w:val="18"/>
              </w:rPr>
              <w:t>937.4(65.59)</w:t>
            </w:r>
          </w:p>
        </w:tc>
        <w:tc>
          <w:tcPr>
            <w:tcW w:w="1618" w:type="dxa"/>
            <w:tcBorders>
              <w:top w:val="single" w:sz="4" w:space="0" w:color="auto"/>
              <w:left w:val="single" w:sz="4" w:space="0" w:color="auto"/>
              <w:bottom w:val="single" w:sz="4" w:space="0" w:color="auto"/>
              <w:right w:val="single" w:sz="4" w:space="0" w:color="auto"/>
            </w:tcBorders>
            <w:vAlign w:val="center"/>
          </w:tcPr>
          <w:p w14:paraId="1E61F2FC" w14:textId="77777777" w:rsidR="00E36D06" w:rsidRPr="003C738A" w:rsidRDefault="00E36D06" w:rsidP="00C953A7">
            <w:pPr>
              <w:jc w:val="center"/>
              <w:rPr>
                <w:rFonts w:cstheme="minorHAnsi"/>
                <w:sz w:val="18"/>
                <w:szCs w:val="18"/>
              </w:rPr>
            </w:pPr>
            <w:r w:rsidRPr="003C738A">
              <w:rPr>
                <w:rFonts w:cstheme="minorHAnsi"/>
                <w:sz w:val="18"/>
                <w:szCs w:val="18"/>
              </w:rPr>
              <w:t>491.8(34.41)</w:t>
            </w:r>
          </w:p>
        </w:tc>
        <w:tc>
          <w:tcPr>
            <w:tcW w:w="1619" w:type="dxa"/>
            <w:vMerge w:val="restart"/>
            <w:tcBorders>
              <w:top w:val="single" w:sz="4" w:space="0" w:color="auto"/>
              <w:left w:val="single" w:sz="4" w:space="0" w:color="auto"/>
              <w:right w:val="single" w:sz="4" w:space="0" w:color="auto"/>
            </w:tcBorders>
            <w:vAlign w:val="center"/>
          </w:tcPr>
          <w:p w14:paraId="2EB35E8D" w14:textId="77777777" w:rsidR="00E36D06" w:rsidRPr="003C738A" w:rsidRDefault="00E36D06" w:rsidP="00C953A7">
            <w:pPr>
              <w:jc w:val="center"/>
              <w:rPr>
                <w:rFonts w:cstheme="minorHAnsi"/>
                <w:sz w:val="18"/>
                <w:szCs w:val="18"/>
              </w:rPr>
            </w:pPr>
            <w:r w:rsidRPr="003C738A">
              <w:rPr>
                <w:rFonts w:cstheme="minorHAnsi"/>
                <w:sz w:val="18"/>
                <w:szCs w:val="18"/>
              </w:rPr>
              <w:t>0.5834</w:t>
            </w:r>
          </w:p>
        </w:tc>
      </w:tr>
      <w:tr w:rsidR="00E36D06" w:rsidRPr="003C738A" w14:paraId="5592B26F" w14:textId="77777777" w:rsidTr="00C953A7">
        <w:tc>
          <w:tcPr>
            <w:tcW w:w="1870" w:type="dxa"/>
            <w:vMerge/>
            <w:tcBorders>
              <w:left w:val="single" w:sz="4" w:space="0" w:color="auto"/>
              <w:right w:val="single" w:sz="4" w:space="0" w:color="auto"/>
            </w:tcBorders>
            <w:vAlign w:val="center"/>
          </w:tcPr>
          <w:p w14:paraId="39B38232" w14:textId="77777777" w:rsidR="00E36D06" w:rsidRPr="003C738A" w:rsidRDefault="00E36D06" w:rsidP="00C953A7">
            <w:pPr>
              <w:jc w:val="center"/>
              <w:rPr>
                <w:rFonts w:cstheme="minorHAnsi"/>
                <w:sz w:val="18"/>
                <w:szCs w:val="18"/>
              </w:rPr>
            </w:pPr>
          </w:p>
        </w:tc>
        <w:tc>
          <w:tcPr>
            <w:tcW w:w="2625" w:type="dxa"/>
            <w:tcBorders>
              <w:top w:val="single" w:sz="4" w:space="0" w:color="auto"/>
              <w:left w:val="single" w:sz="4" w:space="0" w:color="auto"/>
              <w:bottom w:val="single" w:sz="4" w:space="0" w:color="auto"/>
              <w:right w:val="single" w:sz="4" w:space="0" w:color="auto"/>
            </w:tcBorders>
            <w:vAlign w:val="center"/>
          </w:tcPr>
          <w:p w14:paraId="36967A07" w14:textId="77777777" w:rsidR="00E36D06" w:rsidRPr="003C738A" w:rsidRDefault="00E36D06" w:rsidP="00C953A7">
            <w:pPr>
              <w:jc w:val="center"/>
              <w:rPr>
                <w:rFonts w:cstheme="minorHAnsi"/>
                <w:sz w:val="18"/>
                <w:szCs w:val="18"/>
              </w:rPr>
            </w:pPr>
            <w:r w:rsidRPr="003C738A">
              <w:rPr>
                <w:rFonts w:cstheme="minorHAnsi"/>
                <w:sz w:val="18"/>
                <w:szCs w:val="18"/>
              </w:rPr>
              <w:t>Yes</w:t>
            </w:r>
          </w:p>
        </w:tc>
        <w:tc>
          <w:tcPr>
            <w:tcW w:w="1618" w:type="dxa"/>
            <w:tcBorders>
              <w:top w:val="single" w:sz="4" w:space="0" w:color="auto"/>
              <w:left w:val="single" w:sz="4" w:space="0" w:color="auto"/>
              <w:bottom w:val="single" w:sz="4" w:space="0" w:color="auto"/>
              <w:right w:val="single" w:sz="4" w:space="0" w:color="auto"/>
            </w:tcBorders>
            <w:vAlign w:val="center"/>
          </w:tcPr>
          <w:p w14:paraId="45D42B6B" w14:textId="77777777" w:rsidR="00E36D06" w:rsidRPr="003C738A" w:rsidRDefault="00E36D06" w:rsidP="00C953A7">
            <w:pPr>
              <w:jc w:val="center"/>
              <w:rPr>
                <w:rFonts w:cstheme="minorHAnsi"/>
                <w:sz w:val="18"/>
                <w:szCs w:val="18"/>
              </w:rPr>
            </w:pPr>
            <w:r w:rsidRPr="003C738A">
              <w:rPr>
                <w:rFonts w:cstheme="minorHAnsi"/>
                <w:sz w:val="18"/>
                <w:szCs w:val="18"/>
              </w:rPr>
              <w:t>32.38(61.55)</w:t>
            </w:r>
          </w:p>
        </w:tc>
        <w:tc>
          <w:tcPr>
            <w:tcW w:w="1618" w:type="dxa"/>
            <w:tcBorders>
              <w:top w:val="single" w:sz="4" w:space="0" w:color="auto"/>
              <w:left w:val="single" w:sz="4" w:space="0" w:color="auto"/>
              <w:bottom w:val="single" w:sz="4" w:space="0" w:color="auto"/>
              <w:right w:val="single" w:sz="4" w:space="0" w:color="auto"/>
            </w:tcBorders>
            <w:vAlign w:val="center"/>
          </w:tcPr>
          <w:p w14:paraId="77928FA5" w14:textId="77777777" w:rsidR="00E36D06" w:rsidRPr="003C738A" w:rsidRDefault="00E36D06" w:rsidP="00C953A7">
            <w:pPr>
              <w:jc w:val="center"/>
              <w:rPr>
                <w:rFonts w:cstheme="minorHAnsi"/>
                <w:sz w:val="18"/>
                <w:szCs w:val="18"/>
              </w:rPr>
            </w:pPr>
            <w:r w:rsidRPr="003C738A">
              <w:rPr>
                <w:rFonts w:cstheme="minorHAnsi"/>
                <w:sz w:val="18"/>
                <w:szCs w:val="18"/>
              </w:rPr>
              <w:t>20.23(38.45)</w:t>
            </w:r>
          </w:p>
        </w:tc>
        <w:tc>
          <w:tcPr>
            <w:tcW w:w="1619" w:type="dxa"/>
            <w:vMerge/>
            <w:tcBorders>
              <w:left w:val="single" w:sz="4" w:space="0" w:color="auto"/>
              <w:right w:val="single" w:sz="4" w:space="0" w:color="auto"/>
            </w:tcBorders>
            <w:vAlign w:val="center"/>
          </w:tcPr>
          <w:p w14:paraId="4C9D9CBC" w14:textId="77777777" w:rsidR="00E36D06" w:rsidRPr="003C738A" w:rsidRDefault="00E36D06" w:rsidP="00C953A7">
            <w:pPr>
              <w:jc w:val="center"/>
              <w:rPr>
                <w:rFonts w:cstheme="minorHAnsi"/>
                <w:sz w:val="18"/>
                <w:szCs w:val="18"/>
              </w:rPr>
            </w:pPr>
          </w:p>
        </w:tc>
      </w:tr>
      <w:tr w:rsidR="00E36D06" w:rsidRPr="003C738A" w14:paraId="17B12E7D" w14:textId="77777777" w:rsidTr="00C953A7">
        <w:tc>
          <w:tcPr>
            <w:tcW w:w="1870" w:type="dxa"/>
            <w:vMerge w:val="restart"/>
            <w:tcBorders>
              <w:left w:val="single" w:sz="4" w:space="0" w:color="auto"/>
              <w:right w:val="single" w:sz="4" w:space="0" w:color="auto"/>
            </w:tcBorders>
            <w:vAlign w:val="center"/>
          </w:tcPr>
          <w:p w14:paraId="77D439DE" w14:textId="77777777" w:rsidR="00E36D06" w:rsidRPr="003C738A" w:rsidRDefault="00E36D06" w:rsidP="00C953A7">
            <w:pPr>
              <w:jc w:val="center"/>
              <w:rPr>
                <w:rFonts w:cstheme="minorHAnsi"/>
                <w:sz w:val="18"/>
                <w:szCs w:val="18"/>
              </w:rPr>
            </w:pPr>
            <w:r w:rsidRPr="003C738A">
              <w:rPr>
                <w:rFonts w:cstheme="minorHAnsi"/>
                <w:sz w:val="18"/>
                <w:szCs w:val="18"/>
              </w:rPr>
              <w:t>Had Fever in the last two week</w:t>
            </w:r>
          </w:p>
        </w:tc>
        <w:tc>
          <w:tcPr>
            <w:tcW w:w="2625" w:type="dxa"/>
            <w:tcBorders>
              <w:top w:val="single" w:sz="4" w:space="0" w:color="auto"/>
              <w:left w:val="single" w:sz="4" w:space="0" w:color="auto"/>
              <w:bottom w:val="single" w:sz="4" w:space="0" w:color="auto"/>
              <w:right w:val="single" w:sz="4" w:space="0" w:color="auto"/>
            </w:tcBorders>
            <w:vAlign w:val="center"/>
          </w:tcPr>
          <w:p w14:paraId="23BCE8EB" w14:textId="77777777" w:rsidR="00E36D06" w:rsidRPr="003C738A" w:rsidRDefault="00E36D06" w:rsidP="00C953A7">
            <w:pPr>
              <w:jc w:val="center"/>
              <w:rPr>
                <w:rFonts w:cstheme="minorHAnsi"/>
                <w:sz w:val="18"/>
                <w:szCs w:val="18"/>
              </w:rPr>
            </w:pPr>
            <w:r w:rsidRPr="003C738A">
              <w:rPr>
                <w:rFonts w:cstheme="minorHAnsi"/>
                <w:sz w:val="18"/>
                <w:szCs w:val="18"/>
              </w:rPr>
              <w:t>No</w:t>
            </w:r>
          </w:p>
        </w:tc>
        <w:tc>
          <w:tcPr>
            <w:tcW w:w="1618" w:type="dxa"/>
            <w:tcBorders>
              <w:top w:val="single" w:sz="4" w:space="0" w:color="auto"/>
              <w:left w:val="single" w:sz="4" w:space="0" w:color="auto"/>
              <w:bottom w:val="single" w:sz="4" w:space="0" w:color="auto"/>
              <w:right w:val="single" w:sz="4" w:space="0" w:color="auto"/>
            </w:tcBorders>
            <w:vAlign w:val="center"/>
          </w:tcPr>
          <w:p w14:paraId="21404F2C" w14:textId="77777777" w:rsidR="00E36D06" w:rsidRPr="003C738A" w:rsidRDefault="00E36D06" w:rsidP="00C953A7">
            <w:pPr>
              <w:jc w:val="center"/>
              <w:rPr>
                <w:rFonts w:cstheme="minorHAnsi"/>
                <w:sz w:val="18"/>
                <w:szCs w:val="18"/>
              </w:rPr>
            </w:pPr>
            <w:r w:rsidRPr="003C738A">
              <w:rPr>
                <w:rFonts w:cstheme="minorHAnsi"/>
                <w:sz w:val="18"/>
                <w:szCs w:val="18"/>
              </w:rPr>
              <w:t>576(62.58)</w:t>
            </w:r>
          </w:p>
        </w:tc>
        <w:tc>
          <w:tcPr>
            <w:tcW w:w="1618" w:type="dxa"/>
            <w:tcBorders>
              <w:top w:val="single" w:sz="4" w:space="0" w:color="auto"/>
              <w:left w:val="single" w:sz="4" w:space="0" w:color="auto"/>
              <w:bottom w:val="single" w:sz="4" w:space="0" w:color="auto"/>
              <w:right w:val="single" w:sz="4" w:space="0" w:color="auto"/>
            </w:tcBorders>
            <w:vAlign w:val="center"/>
          </w:tcPr>
          <w:p w14:paraId="3B2A0F9F" w14:textId="77777777" w:rsidR="00E36D06" w:rsidRPr="003C738A" w:rsidRDefault="00E36D06" w:rsidP="00C953A7">
            <w:pPr>
              <w:jc w:val="center"/>
              <w:rPr>
                <w:rFonts w:cstheme="minorHAnsi"/>
                <w:sz w:val="18"/>
                <w:szCs w:val="18"/>
              </w:rPr>
            </w:pPr>
            <w:r w:rsidRPr="003C738A">
              <w:rPr>
                <w:rFonts w:cstheme="minorHAnsi"/>
                <w:sz w:val="18"/>
                <w:szCs w:val="18"/>
              </w:rPr>
              <w:t>344.3(37.42)</w:t>
            </w:r>
          </w:p>
        </w:tc>
        <w:tc>
          <w:tcPr>
            <w:tcW w:w="1619" w:type="dxa"/>
            <w:vMerge w:val="restart"/>
            <w:tcBorders>
              <w:left w:val="single" w:sz="4" w:space="0" w:color="auto"/>
              <w:right w:val="single" w:sz="4" w:space="0" w:color="auto"/>
            </w:tcBorders>
            <w:vAlign w:val="center"/>
          </w:tcPr>
          <w:p w14:paraId="57A608EC" w14:textId="77777777" w:rsidR="00E36D06" w:rsidRPr="003C738A" w:rsidRDefault="00E36D06" w:rsidP="00C953A7">
            <w:pPr>
              <w:jc w:val="center"/>
              <w:rPr>
                <w:rFonts w:cstheme="minorHAnsi"/>
                <w:b/>
                <w:bCs/>
                <w:sz w:val="18"/>
                <w:szCs w:val="18"/>
              </w:rPr>
            </w:pPr>
            <w:r w:rsidRPr="003C738A">
              <w:rPr>
                <w:rFonts w:cstheme="minorHAnsi"/>
                <w:b/>
                <w:bCs/>
                <w:sz w:val="18"/>
                <w:szCs w:val="18"/>
              </w:rPr>
              <w:t>0.0104</w:t>
            </w:r>
          </w:p>
        </w:tc>
      </w:tr>
      <w:tr w:rsidR="00E36D06" w:rsidRPr="003C738A" w14:paraId="5CB7E8C5" w14:textId="77777777" w:rsidTr="00C953A7">
        <w:tc>
          <w:tcPr>
            <w:tcW w:w="1870" w:type="dxa"/>
            <w:vMerge/>
            <w:tcBorders>
              <w:left w:val="single" w:sz="4" w:space="0" w:color="auto"/>
              <w:right w:val="single" w:sz="4" w:space="0" w:color="auto"/>
            </w:tcBorders>
            <w:vAlign w:val="center"/>
          </w:tcPr>
          <w:p w14:paraId="03512258" w14:textId="77777777" w:rsidR="00E36D06" w:rsidRPr="003C738A" w:rsidRDefault="00E36D06" w:rsidP="00C953A7">
            <w:pPr>
              <w:jc w:val="center"/>
              <w:rPr>
                <w:rFonts w:cstheme="minorHAnsi"/>
                <w:sz w:val="18"/>
                <w:szCs w:val="18"/>
              </w:rPr>
            </w:pPr>
          </w:p>
        </w:tc>
        <w:tc>
          <w:tcPr>
            <w:tcW w:w="2625" w:type="dxa"/>
            <w:tcBorders>
              <w:top w:val="single" w:sz="4" w:space="0" w:color="auto"/>
              <w:left w:val="single" w:sz="4" w:space="0" w:color="auto"/>
              <w:bottom w:val="single" w:sz="4" w:space="0" w:color="auto"/>
              <w:right w:val="single" w:sz="4" w:space="0" w:color="auto"/>
            </w:tcBorders>
            <w:vAlign w:val="center"/>
          </w:tcPr>
          <w:p w14:paraId="5A9F2E88" w14:textId="77777777" w:rsidR="00E36D06" w:rsidRPr="003C738A" w:rsidRDefault="00E36D06" w:rsidP="00C953A7">
            <w:pPr>
              <w:jc w:val="center"/>
              <w:rPr>
                <w:rFonts w:cstheme="minorHAnsi"/>
                <w:sz w:val="18"/>
                <w:szCs w:val="18"/>
              </w:rPr>
            </w:pPr>
            <w:r w:rsidRPr="003C738A">
              <w:rPr>
                <w:rFonts w:cstheme="minorHAnsi"/>
                <w:sz w:val="18"/>
                <w:szCs w:val="18"/>
              </w:rPr>
              <w:t>Yes</w:t>
            </w:r>
          </w:p>
        </w:tc>
        <w:tc>
          <w:tcPr>
            <w:tcW w:w="1618" w:type="dxa"/>
            <w:tcBorders>
              <w:top w:val="single" w:sz="4" w:space="0" w:color="auto"/>
              <w:left w:val="single" w:sz="4" w:space="0" w:color="auto"/>
              <w:bottom w:val="single" w:sz="4" w:space="0" w:color="auto"/>
              <w:right w:val="single" w:sz="4" w:space="0" w:color="auto"/>
            </w:tcBorders>
            <w:vAlign w:val="center"/>
          </w:tcPr>
          <w:p w14:paraId="27C909D3" w14:textId="77777777" w:rsidR="00E36D06" w:rsidRPr="003C738A" w:rsidRDefault="00E36D06" w:rsidP="00C953A7">
            <w:pPr>
              <w:jc w:val="center"/>
              <w:rPr>
                <w:rFonts w:cstheme="minorHAnsi"/>
                <w:sz w:val="18"/>
                <w:szCs w:val="18"/>
              </w:rPr>
            </w:pPr>
            <w:r w:rsidRPr="003C738A">
              <w:rPr>
                <w:rFonts w:cstheme="minorHAnsi"/>
                <w:sz w:val="18"/>
                <w:szCs w:val="18"/>
              </w:rPr>
              <w:t>393.9(70.13)</w:t>
            </w:r>
          </w:p>
        </w:tc>
        <w:tc>
          <w:tcPr>
            <w:tcW w:w="1618" w:type="dxa"/>
            <w:tcBorders>
              <w:top w:val="single" w:sz="4" w:space="0" w:color="auto"/>
              <w:left w:val="single" w:sz="4" w:space="0" w:color="auto"/>
              <w:bottom w:val="single" w:sz="4" w:space="0" w:color="auto"/>
              <w:right w:val="single" w:sz="4" w:space="0" w:color="auto"/>
            </w:tcBorders>
            <w:vAlign w:val="center"/>
          </w:tcPr>
          <w:p w14:paraId="668ABC24" w14:textId="77777777" w:rsidR="00E36D06" w:rsidRPr="003C738A" w:rsidRDefault="00E36D06" w:rsidP="00C953A7">
            <w:pPr>
              <w:jc w:val="center"/>
              <w:rPr>
                <w:rFonts w:cstheme="minorHAnsi"/>
                <w:sz w:val="18"/>
                <w:szCs w:val="18"/>
              </w:rPr>
            </w:pPr>
            <w:r w:rsidRPr="003C738A">
              <w:rPr>
                <w:rFonts w:cstheme="minorHAnsi"/>
                <w:sz w:val="18"/>
                <w:szCs w:val="18"/>
              </w:rPr>
              <w:t>167.7(29.87)</w:t>
            </w:r>
          </w:p>
        </w:tc>
        <w:tc>
          <w:tcPr>
            <w:tcW w:w="1619" w:type="dxa"/>
            <w:vMerge/>
            <w:tcBorders>
              <w:left w:val="single" w:sz="4" w:space="0" w:color="auto"/>
              <w:right w:val="single" w:sz="4" w:space="0" w:color="auto"/>
            </w:tcBorders>
            <w:vAlign w:val="center"/>
          </w:tcPr>
          <w:p w14:paraId="73609EC5" w14:textId="77777777" w:rsidR="00E36D06" w:rsidRPr="003C738A" w:rsidRDefault="00E36D06" w:rsidP="00C953A7">
            <w:pPr>
              <w:jc w:val="center"/>
              <w:rPr>
                <w:rFonts w:cstheme="minorHAnsi"/>
                <w:sz w:val="18"/>
                <w:szCs w:val="18"/>
              </w:rPr>
            </w:pPr>
          </w:p>
        </w:tc>
      </w:tr>
      <w:tr w:rsidR="00E36D06" w:rsidRPr="003C738A" w14:paraId="1E20C51B" w14:textId="77777777" w:rsidTr="00C953A7">
        <w:tc>
          <w:tcPr>
            <w:tcW w:w="1870" w:type="dxa"/>
            <w:vMerge w:val="restart"/>
            <w:tcBorders>
              <w:left w:val="single" w:sz="4" w:space="0" w:color="auto"/>
              <w:right w:val="single" w:sz="4" w:space="0" w:color="auto"/>
            </w:tcBorders>
            <w:vAlign w:val="center"/>
          </w:tcPr>
          <w:p w14:paraId="1669BB7D" w14:textId="77777777" w:rsidR="00E36D06" w:rsidRPr="003C738A" w:rsidRDefault="00E36D06" w:rsidP="00C953A7">
            <w:pPr>
              <w:jc w:val="center"/>
              <w:rPr>
                <w:rFonts w:cstheme="minorHAnsi"/>
                <w:sz w:val="18"/>
                <w:szCs w:val="18"/>
              </w:rPr>
            </w:pPr>
            <w:r w:rsidRPr="003C738A">
              <w:rPr>
                <w:rFonts w:cstheme="minorHAnsi"/>
                <w:sz w:val="18"/>
                <w:szCs w:val="18"/>
              </w:rPr>
              <w:t>Years of Breastfeeding</w:t>
            </w:r>
          </w:p>
        </w:tc>
        <w:tc>
          <w:tcPr>
            <w:tcW w:w="2625" w:type="dxa"/>
            <w:tcBorders>
              <w:top w:val="single" w:sz="4" w:space="0" w:color="auto"/>
              <w:left w:val="single" w:sz="4" w:space="0" w:color="auto"/>
              <w:bottom w:val="single" w:sz="4" w:space="0" w:color="auto"/>
              <w:right w:val="single" w:sz="4" w:space="0" w:color="auto"/>
            </w:tcBorders>
            <w:vAlign w:val="center"/>
          </w:tcPr>
          <w:p w14:paraId="714A6FCB" w14:textId="77777777" w:rsidR="00E36D06" w:rsidRPr="003C738A" w:rsidRDefault="00E36D06" w:rsidP="00C953A7">
            <w:pPr>
              <w:jc w:val="center"/>
              <w:rPr>
                <w:rFonts w:cstheme="minorHAnsi"/>
                <w:sz w:val="18"/>
                <w:szCs w:val="18"/>
              </w:rPr>
            </w:pPr>
            <w:r w:rsidRPr="003C738A">
              <w:rPr>
                <w:rFonts w:cstheme="minorHAnsi"/>
                <w:sz w:val="18"/>
                <w:szCs w:val="18"/>
              </w:rPr>
              <w:t xml:space="preserve">One year </w:t>
            </w:r>
          </w:p>
        </w:tc>
        <w:tc>
          <w:tcPr>
            <w:tcW w:w="1618" w:type="dxa"/>
            <w:tcBorders>
              <w:top w:val="single" w:sz="4" w:space="0" w:color="auto"/>
              <w:left w:val="single" w:sz="4" w:space="0" w:color="auto"/>
              <w:bottom w:val="single" w:sz="4" w:space="0" w:color="auto"/>
              <w:right w:val="single" w:sz="4" w:space="0" w:color="auto"/>
            </w:tcBorders>
            <w:vAlign w:val="center"/>
          </w:tcPr>
          <w:p w14:paraId="4FAFA03A" w14:textId="77777777" w:rsidR="00E36D06" w:rsidRPr="003C738A" w:rsidRDefault="00E36D06" w:rsidP="00C953A7">
            <w:pPr>
              <w:jc w:val="center"/>
              <w:rPr>
                <w:rFonts w:cstheme="minorHAnsi"/>
                <w:sz w:val="18"/>
                <w:szCs w:val="18"/>
              </w:rPr>
            </w:pPr>
            <w:r w:rsidRPr="003C738A">
              <w:rPr>
                <w:rFonts w:cstheme="minorHAnsi"/>
                <w:sz w:val="18"/>
                <w:szCs w:val="18"/>
              </w:rPr>
              <w:t>11.7(54.36)</w:t>
            </w:r>
          </w:p>
        </w:tc>
        <w:tc>
          <w:tcPr>
            <w:tcW w:w="1618" w:type="dxa"/>
            <w:tcBorders>
              <w:top w:val="single" w:sz="4" w:space="0" w:color="auto"/>
              <w:left w:val="single" w:sz="4" w:space="0" w:color="auto"/>
              <w:bottom w:val="single" w:sz="4" w:space="0" w:color="auto"/>
              <w:right w:val="single" w:sz="4" w:space="0" w:color="auto"/>
            </w:tcBorders>
            <w:vAlign w:val="center"/>
          </w:tcPr>
          <w:p w14:paraId="1FA2B70D" w14:textId="77777777" w:rsidR="00E36D06" w:rsidRPr="003C738A" w:rsidRDefault="00E36D06" w:rsidP="00C953A7">
            <w:pPr>
              <w:jc w:val="center"/>
              <w:rPr>
                <w:rFonts w:cstheme="minorHAnsi"/>
                <w:sz w:val="18"/>
                <w:szCs w:val="18"/>
              </w:rPr>
            </w:pPr>
            <w:r w:rsidRPr="003C738A">
              <w:rPr>
                <w:rFonts w:cstheme="minorHAnsi"/>
                <w:sz w:val="18"/>
                <w:szCs w:val="18"/>
              </w:rPr>
              <w:t>9.822(45.64)</w:t>
            </w:r>
          </w:p>
        </w:tc>
        <w:tc>
          <w:tcPr>
            <w:tcW w:w="1619" w:type="dxa"/>
            <w:vMerge w:val="restart"/>
            <w:tcBorders>
              <w:left w:val="single" w:sz="4" w:space="0" w:color="auto"/>
              <w:right w:val="single" w:sz="4" w:space="0" w:color="auto"/>
            </w:tcBorders>
            <w:vAlign w:val="center"/>
          </w:tcPr>
          <w:p w14:paraId="4055295E" w14:textId="77777777" w:rsidR="00E36D06" w:rsidRPr="003C738A" w:rsidRDefault="00E36D06" w:rsidP="00C953A7">
            <w:pPr>
              <w:jc w:val="center"/>
              <w:rPr>
                <w:rFonts w:cstheme="minorHAnsi"/>
                <w:sz w:val="18"/>
                <w:szCs w:val="18"/>
              </w:rPr>
            </w:pPr>
            <w:r w:rsidRPr="003C738A">
              <w:rPr>
                <w:rFonts w:cstheme="minorHAnsi"/>
                <w:sz w:val="18"/>
                <w:szCs w:val="18"/>
              </w:rPr>
              <w:t>0.6569</w:t>
            </w:r>
          </w:p>
        </w:tc>
      </w:tr>
      <w:tr w:rsidR="00E36D06" w:rsidRPr="003C738A" w14:paraId="20574436" w14:textId="77777777" w:rsidTr="00C953A7">
        <w:tc>
          <w:tcPr>
            <w:tcW w:w="1870" w:type="dxa"/>
            <w:vMerge/>
            <w:tcBorders>
              <w:left w:val="single" w:sz="4" w:space="0" w:color="auto"/>
              <w:right w:val="single" w:sz="4" w:space="0" w:color="auto"/>
            </w:tcBorders>
            <w:vAlign w:val="center"/>
          </w:tcPr>
          <w:p w14:paraId="6A365AFF" w14:textId="77777777" w:rsidR="00E36D06" w:rsidRPr="003C738A" w:rsidRDefault="00E36D06" w:rsidP="00C953A7">
            <w:pPr>
              <w:jc w:val="center"/>
              <w:rPr>
                <w:rFonts w:cstheme="minorHAnsi"/>
                <w:sz w:val="18"/>
                <w:szCs w:val="18"/>
              </w:rPr>
            </w:pPr>
          </w:p>
        </w:tc>
        <w:tc>
          <w:tcPr>
            <w:tcW w:w="2625" w:type="dxa"/>
            <w:tcBorders>
              <w:top w:val="single" w:sz="4" w:space="0" w:color="auto"/>
              <w:left w:val="single" w:sz="4" w:space="0" w:color="auto"/>
              <w:bottom w:val="single" w:sz="4" w:space="0" w:color="auto"/>
              <w:right w:val="single" w:sz="4" w:space="0" w:color="auto"/>
            </w:tcBorders>
            <w:vAlign w:val="center"/>
          </w:tcPr>
          <w:p w14:paraId="424DDFB3" w14:textId="77777777" w:rsidR="00E36D06" w:rsidRPr="003C738A" w:rsidRDefault="00E36D06" w:rsidP="00C953A7">
            <w:pPr>
              <w:jc w:val="center"/>
              <w:rPr>
                <w:rFonts w:cstheme="minorHAnsi"/>
                <w:sz w:val="18"/>
                <w:szCs w:val="18"/>
              </w:rPr>
            </w:pPr>
            <w:r w:rsidRPr="003C738A">
              <w:rPr>
                <w:rFonts w:cstheme="minorHAnsi"/>
                <w:sz w:val="18"/>
                <w:szCs w:val="18"/>
              </w:rPr>
              <w:t xml:space="preserve">Two years </w:t>
            </w:r>
          </w:p>
        </w:tc>
        <w:tc>
          <w:tcPr>
            <w:tcW w:w="1618" w:type="dxa"/>
            <w:tcBorders>
              <w:top w:val="single" w:sz="4" w:space="0" w:color="auto"/>
              <w:left w:val="single" w:sz="4" w:space="0" w:color="auto"/>
              <w:bottom w:val="single" w:sz="4" w:space="0" w:color="auto"/>
              <w:right w:val="single" w:sz="4" w:space="0" w:color="auto"/>
            </w:tcBorders>
            <w:vAlign w:val="center"/>
          </w:tcPr>
          <w:p w14:paraId="408BA18E" w14:textId="77777777" w:rsidR="00E36D06" w:rsidRPr="003C738A" w:rsidRDefault="00E36D06" w:rsidP="00C953A7">
            <w:pPr>
              <w:jc w:val="center"/>
              <w:rPr>
                <w:rFonts w:cstheme="minorHAnsi"/>
                <w:sz w:val="18"/>
                <w:szCs w:val="18"/>
              </w:rPr>
            </w:pPr>
            <w:r w:rsidRPr="003C738A">
              <w:rPr>
                <w:rFonts w:cstheme="minorHAnsi"/>
                <w:sz w:val="18"/>
                <w:szCs w:val="18"/>
              </w:rPr>
              <w:t>50.71(66.79)</w:t>
            </w:r>
          </w:p>
        </w:tc>
        <w:tc>
          <w:tcPr>
            <w:tcW w:w="1618" w:type="dxa"/>
            <w:tcBorders>
              <w:top w:val="single" w:sz="4" w:space="0" w:color="auto"/>
              <w:left w:val="single" w:sz="4" w:space="0" w:color="auto"/>
              <w:bottom w:val="single" w:sz="4" w:space="0" w:color="auto"/>
              <w:right w:val="single" w:sz="4" w:space="0" w:color="auto"/>
            </w:tcBorders>
            <w:vAlign w:val="center"/>
          </w:tcPr>
          <w:p w14:paraId="47C1A205" w14:textId="77777777" w:rsidR="00E36D06" w:rsidRPr="003C738A" w:rsidRDefault="00E36D06" w:rsidP="00C953A7">
            <w:pPr>
              <w:jc w:val="center"/>
              <w:rPr>
                <w:rFonts w:cstheme="minorHAnsi"/>
                <w:sz w:val="18"/>
                <w:szCs w:val="18"/>
              </w:rPr>
            </w:pPr>
            <w:r w:rsidRPr="003C738A">
              <w:rPr>
                <w:rFonts w:cstheme="minorHAnsi"/>
                <w:sz w:val="18"/>
                <w:szCs w:val="18"/>
              </w:rPr>
              <w:t>25.21(33.21)</w:t>
            </w:r>
          </w:p>
        </w:tc>
        <w:tc>
          <w:tcPr>
            <w:tcW w:w="1619" w:type="dxa"/>
            <w:vMerge/>
            <w:tcBorders>
              <w:left w:val="single" w:sz="4" w:space="0" w:color="auto"/>
              <w:right w:val="single" w:sz="4" w:space="0" w:color="auto"/>
            </w:tcBorders>
            <w:vAlign w:val="center"/>
          </w:tcPr>
          <w:p w14:paraId="6A71870F" w14:textId="77777777" w:rsidR="00E36D06" w:rsidRPr="003C738A" w:rsidRDefault="00E36D06" w:rsidP="00C953A7">
            <w:pPr>
              <w:jc w:val="center"/>
              <w:rPr>
                <w:rFonts w:cstheme="minorHAnsi"/>
                <w:sz w:val="18"/>
                <w:szCs w:val="18"/>
              </w:rPr>
            </w:pPr>
          </w:p>
        </w:tc>
      </w:tr>
      <w:tr w:rsidR="00E36D06" w:rsidRPr="003C738A" w14:paraId="44CB7545" w14:textId="77777777" w:rsidTr="00C953A7">
        <w:tc>
          <w:tcPr>
            <w:tcW w:w="1870" w:type="dxa"/>
            <w:vMerge/>
            <w:tcBorders>
              <w:left w:val="single" w:sz="4" w:space="0" w:color="auto"/>
              <w:bottom w:val="single" w:sz="4" w:space="0" w:color="auto"/>
              <w:right w:val="single" w:sz="4" w:space="0" w:color="auto"/>
            </w:tcBorders>
            <w:vAlign w:val="center"/>
          </w:tcPr>
          <w:p w14:paraId="4EE08576" w14:textId="77777777" w:rsidR="00E36D06" w:rsidRPr="003C738A" w:rsidRDefault="00E36D06" w:rsidP="00C953A7">
            <w:pPr>
              <w:jc w:val="center"/>
              <w:rPr>
                <w:rFonts w:cstheme="minorHAnsi"/>
                <w:sz w:val="18"/>
                <w:szCs w:val="18"/>
              </w:rPr>
            </w:pPr>
          </w:p>
        </w:tc>
        <w:tc>
          <w:tcPr>
            <w:tcW w:w="2625" w:type="dxa"/>
            <w:tcBorders>
              <w:top w:val="single" w:sz="4" w:space="0" w:color="auto"/>
              <w:left w:val="single" w:sz="4" w:space="0" w:color="auto"/>
              <w:bottom w:val="single" w:sz="4" w:space="0" w:color="auto"/>
              <w:right w:val="single" w:sz="4" w:space="0" w:color="auto"/>
            </w:tcBorders>
            <w:vAlign w:val="center"/>
          </w:tcPr>
          <w:p w14:paraId="166CE267" w14:textId="672D1152" w:rsidR="00E36D06" w:rsidRPr="003C738A" w:rsidRDefault="00E36D06" w:rsidP="00C953A7">
            <w:pPr>
              <w:jc w:val="center"/>
              <w:rPr>
                <w:rFonts w:cstheme="minorHAnsi"/>
                <w:sz w:val="18"/>
                <w:szCs w:val="18"/>
              </w:rPr>
            </w:pPr>
            <w:r w:rsidRPr="003C738A">
              <w:rPr>
                <w:rFonts w:cstheme="minorHAnsi"/>
                <w:sz w:val="18"/>
                <w:szCs w:val="18"/>
              </w:rPr>
              <w:t xml:space="preserve">Three years </w:t>
            </w:r>
            <w:r w:rsidR="00056749">
              <w:rPr>
                <w:rFonts w:cstheme="minorHAnsi"/>
                <w:sz w:val="18"/>
                <w:szCs w:val="18"/>
              </w:rPr>
              <w:t>or more</w:t>
            </w:r>
          </w:p>
        </w:tc>
        <w:tc>
          <w:tcPr>
            <w:tcW w:w="1618" w:type="dxa"/>
            <w:tcBorders>
              <w:top w:val="single" w:sz="4" w:space="0" w:color="auto"/>
              <w:left w:val="single" w:sz="4" w:space="0" w:color="auto"/>
              <w:bottom w:val="single" w:sz="4" w:space="0" w:color="auto"/>
              <w:right w:val="single" w:sz="4" w:space="0" w:color="auto"/>
            </w:tcBorders>
            <w:vAlign w:val="center"/>
          </w:tcPr>
          <w:p w14:paraId="6A36376C" w14:textId="77777777" w:rsidR="00E36D06" w:rsidRPr="003C738A" w:rsidRDefault="00E36D06" w:rsidP="00C953A7">
            <w:pPr>
              <w:jc w:val="center"/>
              <w:rPr>
                <w:rFonts w:cstheme="minorHAnsi"/>
                <w:sz w:val="18"/>
                <w:szCs w:val="18"/>
              </w:rPr>
            </w:pPr>
            <w:r w:rsidRPr="003C738A">
              <w:rPr>
                <w:rFonts w:cstheme="minorHAnsi"/>
                <w:sz w:val="18"/>
                <w:szCs w:val="18"/>
              </w:rPr>
              <w:t>15.79(67.8)</w:t>
            </w:r>
          </w:p>
        </w:tc>
        <w:tc>
          <w:tcPr>
            <w:tcW w:w="1618" w:type="dxa"/>
            <w:tcBorders>
              <w:top w:val="single" w:sz="4" w:space="0" w:color="auto"/>
              <w:left w:val="single" w:sz="4" w:space="0" w:color="auto"/>
              <w:bottom w:val="single" w:sz="4" w:space="0" w:color="auto"/>
              <w:right w:val="single" w:sz="4" w:space="0" w:color="auto"/>
            </w:tcBorders>
            <w:vAlign w:val="center"/>
          </w:tcPr>
          <w:p w14:paraId="3CF9184E" w14:textId="77777777" w:rsidR="00E36D06" w:rsidRPr="003C738A" w:rsidRDefault="00E36D06" w:rsidP="00C953A7">
            <w:pPr>
              <w:jc w:val="center"/>
              <w:rPr>
                <w:rFonts w:cstheme="minorHAnsi"/>
                <w:sz w:val="18"/>
                <w:szCs w:val="18"/>
              </w:rPr>
            </w:pPr>
            <w:r w:rsidRPr="003C738A">
              <w:rPr>
                <w:rFonts w:cstheme="minorHAnsi"/>
                <w:sz w:val="18"/>
                <w:szCs w:val="18"/>
              </w:rPr>
              <w:t>7.501(32.2)</w:t>
            </w:r>
          </w:p>
        </w:tc>
        <w:tc>
          <w:tcPr>
            <w:tcW w:w="1619" w:type="dxa"/>
            <w:vMerge/>
            <w:tcBorders>
              <w:left w:val="single" w:sz="4" w:space="0" w:color="auto"/>
              <w:bottom w:val="single" w:sz="4" w:space="0" w:color="auto"/>
              <w:right w:val="single" w:sz="4" w:space="0" w:color="auto"/>
            </w:tcBorders>
            <w:vAlign w:val="center"/>
          </w:tcPr>
          <w:p w14:paraId="3B263BA8" w14:textId="77777777" w:rsidR="00E36D06" w:rsidRPr="003C738A" w:rsidRDefault="00E36D06" w:rsidP="00C953A7">
            <w:pPr>
              <w:jc w:val="center"/>
              <w:rPr>
                <w:rFonts w:cstheme="minorHAnsi"/>
                <w:sz w:val="18"/>
                <w:szCs w:val="18"/>
              </w:rPr>
            </w:pPr>
          </w:p>
        </w:tc>
      </w:tr>
    </w:tbl>
    <w:bookmarkEnd w:id="0"/>
    <w:p w14:paraId="4C5EBEB8" w14:textId="77777777" w:rsidR="00E36D06" w:rsidRDefault="00E36D06" w:rsidP="00E36D06">
      <w:pPr>
        <w:rPr>
          <w:rFonts w:cstheme="minorHAnsi"/>
          <w:b/>
          <w:bCs/>
          <w:sz w:val="24"/>
          <w:szCs w:val="24"/>
        </w:rPr>
      </w:pPr>
      <w:r w:rsidRPr="003C738A">
        <w:rPr>
          <w:rFonts w:cstheme="minorHAnsi"/>
          <w:b/>
          <w:bCs/>
        </w:rPr>
        <w:lastRenderedPageBreak/>
        <w:t xml:space="preserve"> </w:t>
      </w:r>
      <w:r w:rsidRPr="003C738A">
        <w:rPr>
          <w:rFonts w:cstheme="minorHAnsi"/>
          <w:b/>
          <w:bCs/>
          <w:sz w:val="24"/>
          <w:szCs w:val="24"/>
        </w:rPr>
        <w:t>Table</w:t>
      </w:r>
      <w:r>
        <w:rPr>
          <w:rFonts w:cstheme="minorHAnsi"/>
          <w:b/>
          <w:bCs/>
          <w:sz w:val="24"/>
          <w:szCs w:val="24"/>
        </w:rPr>
        <w:t xml:space="preserve"> 2</w:t>
      </w:r>
      <w:r w:rsidRPr="003C738A">
        <w:rPr>
          <w:rFonts w:cstheme="minorHAnsi"/>
          <w:b/>
          <w:bCs/>
          <w:sz w:val="24"/>
          <w:szCs w:val="24"/>
        </w:rPr>
        <w:t xml:space="preserve">: </w:t>
      </w:r>
      <w:r w:rsidRPr="005074AD">
        <w:rPr>
          <w:rFonts w:cstheme="minorHAnsi"/>
          <w:sz w:val="24"/>
          <w:szCs w:val="24"/>
        </w:rPr>
        <w:t>Descriptive statistics according to women's experience of IPV and their children nutritional status using Bangladesh 20</w:t>
      </w:r>
      <w:r>
        <w:rPr>
          <w:rFonts w:cstheme="minorHAnsi"/>
          <w:sz w:val="24"/>
          <w:szCs w:val="24"/>
        </w:rPr>
        <w:t>1</w:t>
      </w:r>
      <w:r w:rsidRPr="005074AD">
        <w:rPr>
          <w:rFonts w:cstheme="minorHAnsi"/>
          <w:sz w:val="24"/>
          <w:szCs w:val="24"/>
        </w:rPr>
        <w:t>7 demographic and health survey.</w:t>
      </w:r>
    </w:p>
    <w:p w14:paraId="69C76CD6" w14:textId="77777777" w:rsidR="00E36D06" w:rsidRDefault="00E36D06" w:rsidP="00E36D06">
      <w:pPr>
        <w:rPr>
          <w:rFonts w:cstheme="minorHAnsi"/>
          <w:b/>
          <w:bCs/>
          <w:sz w:val="24"/>
          <w:szCs w:val="24"/>
        </w:rPr>
      </w:pPr>
    </w:p>
    <w:p w14:paraId="48B7A001" w14:textId="34078BB7" w:rsidR="006C0D46" w:rsidRPr="00D6781E" w:rsidRDefault="006C0D46" w:rsidP="006C0D46">
      <w:pPr>
        <w:spacing w:line="360" w:lineRule="auto"/>
        <w:jc w:val="both"/>
        <w:rPr>
          <w:rFonts w:cstheme="minorHAnsi"/>
          <w:sz w:val="24"/>
          <w:szCs w:val="24"/>
        </w:rPr>
      </w:pPr>
      <w:r w:rsidRPr="00D6781E">
        <w:rPr>
          <w:rFonts w:cstheme="minorHAnsi"/>
          <w:sz w:val="24"/>
          <w:szCs w:val="24"/>
        </w:rPr>
        <w:t>Occurrences of recent diarrhea did not significantly impact malnutrition rates, with 65.6% for those who had not experienced diarrhea and 61.6% for those who had. In contrast, a substantial discrepancy was observed for those who had had fever in the last two weeks, with a malnutrition rate of 70.1%, compared to 62.6% for those who had not. Lastly, years of breastfeeding did not exhibit a marked difference in malnutrition rates, remaining consistent across the one-year, two-year, and three-year categories.</w:t>
      </w:r>
    </w:p>
    <w:p w14:paraId="1FE8C162" w14:textId="73A9EC12" w:rsidR="006C0D46" w:rsidRPr="00D6781E" w:rsidRDefault="00061A48" w:rsidP="006C0D46">
      <w:pPr>
        <w:spacing w:line="360" w:lineRule="auto"/>
        <w:jc w:val="both"/>
        <w:rPr>
          <w:rFonts w:cstheme="minorHAnsi"/>
          <w:b/>
          <w:bCs/>
          <w:sz w:val="24"/>
          <w:szCs w:val="24"/>
        </w:rPr>
      </w:pPr>
      <w:r w:rsidRPr="00D6781E">
        <w:rPr>
          <w:rFonts w:cstheme="minorHAnsi"/>
          <w:b/>
          <w:bCs/>
          <w:sz w:val="24"/>
          <w:szCs w:val="24"/>
        </w:rPr>
        <w:t>Univariate Analysis</w:t>
      </w:r>
    </w:p>
    <w:p w14:paraId="3FC89DCA" w14:textId="6598F015" w:rsidR="00E36D06" w:rsidRDefault="00061A48" w:rsidP="006C0D46">
      <w:pPr>
        <w:spacing w:line="360" w:lineRule="auto"/>
        <w:jc w:val="both"/>
        <w:rPr>
          <w:rFonts w:cstheme="minorHAnsi"/>
          <w:sz w:val="24"/>
          <w:szCs w:val="24"/>
        </w:rPr>
      </w:pPr>
      <w:r w:rsidRPr="00D6781E">
        <w:rPr>
          <w:rFonts w:cstheme="minorHAnsi"/>
          <w:sz w:val="24"/>
          <w:szCs w:val="24"/>
        </w:rPr>
        <w:t>In the univariate analysis using Chi-Square tests, several factors were evaluated for their significance in relation to child malnutrition. Notably, child's age (p = 0.0156), the highest educational level of women (p = 0.0022), wealth index (p = 0.01), mode of delivery (p = 0.0397), and recent fever in the last two weeks (p = 0.0104) were found to be statistically significant variables associated with child malnutrition. In contrast, the sex of the child, type of place of residence, the number of children in the household, respondents' and partners' occupations, recent occurrences of diarrhea, and years of breastfeeding showed non-significant associations with child malnutrition, as indicated by their respective p-values.</w:t>
      </w:r>
    </w:p>
    <w:p w14:paraId="4F8BE2D2" w14:textId="77777777" w:rsidR="00E36D06" w:rsidRPr="00D6781E" w:rsidRDefault="00E36D06" w:rsidP="00E36D06">
      <w:pPr>
        <w:spacing w:line="360" w:lineRule="auto"/>
        <w:jc w:val="both"/>
        <w:rPr>
          <w:rFonts w:cstheme="minorHAnsi"/>
          <w:b/>
          <w:bCs/>
          <w:sz w:val="24"/>
          <w:szCs w:val="24"/>
        </w:rPr>
      </w:pPr>
      <w:r w:rsidRPr="00D6781E">
        <w:rPr>
          <w:rFonts w:cstheme="minorHAnsi"/>
          <w:b/>
          <w:bCs/>
          <w:sz w:val="24"/>
          <w:szCs w:val="24"/>
        </w:rPr>
        <w:t>Final Multiple Logistic Regression Model</w:t>
      </w:r>
    </w:p>
    <w:p w14:paraId="41DC04C7" w14:textId="6EF313DA" w:rsidR="00E36D06" w:rsidRPr="007D6B7B" w:rsidRDefault="00E36D06" w:rsidP="00E36D06">
      <w:pPr>
        <w:spacing w:line="360" w:lineRule="auto"/>
        <w:jc w:val="both"/>
        <w:rPr>
          <w:rFonts w:cstheme="minorHAnsi"/>
          <w:sz w:val="24"/>
          <w:szCs w:val="24"/>
        </w:rPr>
      </w:pPr>
      <w:r w:rsidRPr="00D6781E">
        <w:rPr>
          <w:rFonts w:cstheme="minorHAnsi"/>
          <w:sz w:val="24"/>
          <w:szCs w:val="24"/>
        </w:rPr>
        <w:t>In the final multiple logistic regression model, the association between socio-economic variables and child malnutrition is examined. Child's age plays a crucial role, with two-year-old children displaying a significantly higher likelihood of malnutrition (OR = 3.79, 95% CI: 1.50-9.60, p &lt; 0.01) compared to one-year-olds. Three-year-olds exhibit a suggestive but non-significant association with malnutrition (OR = 2.32, 95% CI: 0.95-5.64, p = 0.06).</w:t>
      </w:r>
      <w:r w:rsidRPr="00E36D06">
        <w:rPr>
          <w:rFonts w:cstheme="minorHAnsi"/>
          <w:sz w:val="24"/>
          <w:szCs w:val="24"/>
        </w:rPr>
        <w:t xml:space="preserve"> </w:t>
      </w:r>
      <w:r w:rsidRPr="00D6781E">
        <w:rPr>
          <w:rFonts w:cstheme="minorHAnsi"/>
          <w:sz w:val="24"/>
          <w:szCs w:val="24"/>
        </w:rPr>
        <w:t xml:space="preserve">The sex of the child, highest educational level, wealth index, mode of delivery (caesarean section), and recent fever do not demonstrate significant relationships with malnutrition, as indicated by their respective odds ratios and p-values. This model offers valuable insights into the socio-economic factors contributing to child </w:t>
      </w:r>
      <w:r w:rsidRPr="00D6781E">
        <w:rPr>
          <w:rFonts w:cstheme="minorHAnsi"/>
          <w:sz w:val="24"/>
          <w:szCs w:val="24"/>
        </w:rPr>
        <w:lastRenderedPageBreak/>
        <w:t>malnutrition within the study context, emphasizing the significance of child age as a prominent predictor.</w:t>
      </w:r>
    </w:p>
    <w:p w14:paraId="34FC566A" w14:textId="30B01A70" w:rsidR="00E36D06" w:rsidRDefault="00E36D06" w:rsidP="00E36D06">
      <w:pPr>
        <w:spacing w:line="360" w:lineRule="auto"/>
        <w:jc w:val="both"/>
        <w:rPr>
          <w:rFonts w:cstheme="minorHAnsi"/>
          <w:sz w:val="24"/>
          <w:szCs w:val="24"/>
        </w:rPr>
      </w:pPr>
    </w:p>
    <w:p w14:paraId="7C169CED" w14:textId="77777777" w:rsidR="00E36D06" w:rsidRDefault="00E36D06" w:rsidP="00E36D06">
      <w:pPr>
        <w:spacing w:line="360" w:lineRule="auto"/>
        <w:jc w:val="both"/>
        <w:rPr>
          <w:rFonts w:cstheme="minorHAnsi"/>
          <w:sz w:val="24"/>
          <w:szCs w:val="24"/>
        </w:rPr>
      </w:pPr>
    </w:p>
    <w:p w14:paraId="310C196E" w14:textId="77777777" w:rsidR="00E36D06" w:rsidRDefault="00E36D06" w:rsidP="00E36D06">
      <w:pPr>
        <w:spacing w:line="360" w:lineRule="auto"/>
        <w:jc w:val="both"/>
        <w:rPr>
          <w:rFonts w:cstheme="minorHAnsi"/>
          <w:sz w:val="24"/>
          <w:szCs w:val="24"/>
        </w:rPr>
      </w:pPr>
    </w:p>
    <w:p w14:paraId="21A682BD" w14:textId="3C6256A2" w:rsidR="00E36D06" w:rsidRDefault="00E36D06" w:rsidP="006C0D46">
      <w:pPr>
        <w:spacing w:line="360" w:lineRule="auto"/>
        <w:jc w:val="both"/>
        <w:rPr>
          <w:rFonts w:cstheme="minorHAnsi"/>
          <w:sz w:val="24"/>
          <w:szCs w:val="24"/>
        </w:rPr>
      </w:pPr>
      <w:r w:rsidRPr="007F5525">
        <w:rPr>
          <w:rFonts w:cstheme="minorHAnsi"/>
          <w:b/>
          <w:bCs/>
          <w:sz w:val="24"/>
          <w:szCs w:val="24"/>
        </w:rPr>
        <w:t xml:space="preserve">Table 3: </w:t>
      </w:r>
      <w:r w:rsidRPr="00D308B0">
        <w:rPr>
          <w:rFonts w:cstheme="minorHAnsi"/>
          <w:sz w:val="24"/>
          <w:szCs w:val="24"/>
        </w:rPr>
        <w:t>Multiple Logistic Regression Model of Socio-economic Variables Associated with Malnutrition.</w:t>
      </w:r>
    </w:p>
    <w:tbl>
      <w:tblPr>
        <w:tblStyle w:val="TableGrid"/>
        <w:tblpPr w:leftFromText="180" w:rightFromText="180" w:horzAnchor="margin" w:tblpY="664"/>
        <w:tblW w:w="0" w:type="auto"/>
        <w:tblInd w:w="0" w:type="dxa"/>
        <w:tblLayout w:type="fixed"/>
        <w:tblLook w:val="04A0" w:firstRow="1" w:lastRow="0" w:firstColumn="1" w:lastColumn="0" w:noHBand="0" w:noVBand="1"/>
      </w:tblPr>
      <w:tblGrid>
        <w:gridCol w:w="1870"/>
        <w:gridCol w:w="2625"/>
        <w:gridCol w:w="1618"/>
        <w:gridCol w:w="1618"/>
        <w:gridCol w:w="1618"/>
      </w:tblGrid>
      <w:tr w:rsidR="00E36D06" w:rsidRPr="007F5525" w14:paraId="049D2025" w14:textId="77777777" w:rsidTr="00C953A7">
        <w:tc>
          <w:tcPr>
            <w:tcW w:w="1870" w:type="dxa"/>
            <w:tcBorders>
              <w:top w:val="single" w:sz="4" w:space="0" w:color="auto"/>
              <w:left w:val="single" w:sz="4" w:space="0" w:color="auto"/>
              <w:bottom w:val="single" w:sz="4" w:space="0" w:color="auto"/>
              <w:right w:val="single" w:sz="4" w:space="0" w:color="auto"/>
            </w:tcBorders>
            <w:vAlign w:val="center"/>
            <w:hideMark/>
          </w:tcPr>
          <w:p w14:paraId="34F5707B" w14:textId="77777777" w:rsidR="00E36D06" w:rsidRPr="007F5525" w:rsidRDefault="00E36D06" w:rsidP="00C953A7">
            <w:pPr>
              <w:jc w:val="center"/>
              <w:rPr>
                <w:rFonts w:cstheme="minorHAnsi"/>
                <w:b/>
                <w:bCs/>
                <w:sz w:val="24"/>
                <w:szCs w:val="24"/>
              </w:rPr>
            </w:pPr>
            <w:r w:rsidRPr="007F5525">
              <w:rPr>
                <w:rFonts w:cstheme="minorHAnsi"/>
                <w:b/>
                <w:bCs/>
                <w:sz w:val="24"/>
                <w:szCs w:val="24"/>
              </w:rPr>
              <w:t>Variables</w:t>
            </w:r>
          </w:p>
        </w:tc>
        <w:tc>
          <w:tcPr>
            <w:tcW w:w="2625" w:type="dxa"/>
            <w:tcBorders>
              <w:top w:val="single" w:sz="4" w:space="0" w:color="auto"/>
              <w:left w:val="single" w:sz="4" w:space="0" w:color="auto"/>
              <w:bottom w:val="single" w:sz="4" w:space="0" w:color="auto"/>
              <w:right w:val="single" w:sz="4" w:space="0" w:color="auto"/>
            </w:tcBorders>
            <w:vAlign w:val="center"/>
            <w:hideMark/>
          </w:tcPr>
          <w:p w14:paraId="46E8F274" w14:textId="77777777" w:rsidR="00E36D06" w:rsidRPr="007F5525" w:rsidRDefault="00E36D06" w:rsidP="00C953A7">
            <w:pPr>
              <w:jc w:val="center"/>
              <w:rPr>
                <w:rFonts w:cstheme="minorHAnsi"/>
                <w:b/>
                <w:bCs/>
                <w:sz w:val="24"/>
                <w:szCs w:val="24"/>
              </w:rPr>
            </w:pPr>
            <w:r w:rsidRPr="007F5525">
              <w:rPr>
                <w:rFonts w:cstheme="minorHAnsi"/>
                <w:b/>
                <w:bCs/>
                <w:sz w:val="24"/>
                <w:szCs w:val="24"/>
              </w:rPr>
              <w:t>Category</w:t>
            </w:r>
          </w:p>
        </w:tc>
        <w:tc>
          <w:tcPr>
            <w:tcW w:w="1618" w:type="dxa"/>
            <w:tcBorders>
              <w:top w:val="single" w:sz="4" w:space="0" w:color="auto"/>
              <w:left w:val="single" w:sz="4" w:space="0" w:color="auto"/>
              <w:bottom w:val="single" w:sz="4" w:space="0" w:color="auto"/>
              <w:right w:val="single" w:sz="4" w:space="0" w:color="auto"/>
            </w:tcBorders>
            <w:vAlign w:val="center"/>
            <w:hideMark/>
          </w:tcPr>
          <w:p w14:paraId="71AA3736" w14:textId="77777777" w:rsidR="00E36D06" w:rsidRPr="007F5525" w:rsidRDefault="00E36D06" w:rsidP="00C953A7">
            <w:pPr>
              <w:jc w:val="center"/>
              <w:rPr>
                <w:rFonts w:cstheme="minorHAnsi"/>
                <w:b/>
                <w:bCs/>
                <w:sz w:val="24"/>
                <w:szCs w:val="24"/>
              </w:rPr>
            </w:pPr>
            <w:r w:rsidRPr="007F5525">
              <w:rPr>
                <w:rFonts w:cstheme="minorHAnsi"/>
                <w:b/>
                <w:bCs/>
                <w:sz w:val="24"/>
                <w:szCs w:val="24"/>
              </w:rPr>
              <w:t>OR</w:t>
            </w:r>
          </w:p>
        </w:tc>
        <w:tc>
          <w:tcPr>
            <w:tcW w:w="1618" w:type="dxa"/>
            <w:tcBorders>
              <w:top w:val="single" w:sz="4" w:space="0" w:color="auto"/>
              <w:left w:val="single" w:sz="4" w:space="0" w:color="auto"/>
              <w:bottom w:val="single" w:sz="4" w:space="0" w:color="auto"/>
              <w:right w:val="single" w:sz="4" w:space="0" w:color="auto"/>
            </w:tcBorders>
            <w:vAlign w:val="center"/>
            <w:hideMark/>
          </w:tcPr>
          <w:p w14:paraId="2A15021D" w14:textId="77777777" w:rsidR="00E36D06" w:rsidRPr="007F5525" w:rsidRDefault="00E36D06" w:rsidP="00C953A7">
            <w:pPr>
              <w:jc w:val="center"/>
              <w:rPr>
                <w:rFonts w:cstheme="minorHAnsi"/>
                <w:b/>
                <w:bCs/>
                <w:sz w:val="24"/>
                <w:szCs w:val="24"/>
              </w:rPr>
            </w:pPr>
            <w:r w:rsidRPr="007F5525">
              <w:rPr>
                <w:rFonts w:cstheme="minorHAnsi"/>
                <w:b/>
                <w:bCs/>
                <w:sz w:val="24"/>
                <w:szCs w:val="24"/>
              </w:rPr>
              <w:t>CI</w:t>
            </w:r>
          </w:p>
        </w:tc>
        <w:tc>
          <w:tcPr>
            <w:tcW w:w="1618" w:type="dxa"/>
            <w:tcBorders>
              <w:top w:val="single" w:sz="4" w:space="0" w:color="auto"/>
              <w:left w:val="single" w:sz="4" w:space="0" w:color="auto"/>
              <w:bottom w:val="single" w:sz="4" w:space="0" w:color="auto"/>
              <w:right w:val="single" w:sz="4" w:space="0" w:color="auto"/>
            </w:tcBorders>
          </w:tcPr>
          <w:p w14:paraId="02FED0CE" w14:textId="77777777" w:rsidR="00E36D06" w:rsidRPr="007F5525" w:rsidRDefault="00E36D06" w:rsidP="00C953A7">
            <w:pPr>
              <w:jc w:val="center"/>
              <w:rPr>
                <w:rFonts w:cstheme="minorHAnsi"/>
                <w:b/>
                <w:bCs/>
                <w:sz w:val="24"/>
                <w:szCs w:val="24"/>
              </w:rPr>
            </w:pPr>
            <w:r w:rsidRPr="007F5525">
              <w:rPr>
                <w:rFonts w:cstheme="minorHAnsi"/>
                <w:b/>
                <w:bCs/>
                <w:sz w:val="24"/>
                <w:szCs w:val="24"/>
              </w:rPr>
              <w:t>P-value</w:t>
            </w:r>
          </w:p>
        </w:tc>
      </w:tr>
      <w:tr w:rsidR="00E36D06" w:rsidRPr="007F5525" w14:paraId="4FB8E307" w14:textId="77777777" w:rsidTr="00C953A7">
        <w:tc>
          <w:tcPr>
            <w:tcW w:w="1870" w:type="dxa"/>
            <w:vMerge w:val="restart"/>
            <w:tcBorders>
              <w:top w:val="single" w:sz="4" w:space="0" w:color="auto"/>
              <w:left w:val="single" w:sz="4" w:space="0" w:color="auto"/>
              <w:right w:val="single" w:sz="4" w:space="0" w:color="auto"/>
            </w:tcBorders>
            <w:vAlign w:val="center"/>
            <w:hideMark/>
          </w:tcPr>
          <w:p w14:paraId="1AE6CC7D" w14:textId="77777777" w:rsidR="00E36D06" w:rsidRPr="007F5525" w:rsidRDefault="00E36D06" w:rsidP="00C953A7">
            <w:pPr>
              <w:jc w:val="center"/>
              <w:rPr>
                <w:rFonts w:cstheme="minorHAnsi"/>
                <w:sz w:val="24"/>
                <w:szCs w:val="24"/>
              </w:rPr>
            </w:pPr>
            <w:r w:rsidRPr="007F5525">
              <w:rPr>
                <w:rFonts w:cstheme="minorHAnsi"/>
                <w:sz w:val="24"/>
                <w:szCs w:val="24"/>
              </w:rPr>
              <w:t>Child’s age</w:t>
            </w:r>
          </w:p>
        </w:tc>
        <w:tc>
          <w:tcPr>
            <w:tcW w:w="2625" w:type="dxa"/>
            <w:tcBorders>
              <w:top w:val="single" w:sz="4" w:space="0" w:color="auto"/>
              <w:left w:val="single" w:sz="4" w:space="0" w:color="auto"/>
              <w:bottom w:val="single" w:sz="4" w:space="0" w:color="auto"/>
              <w:right w:val="single" w:sz="4" w:space="0" w:color="auto"/>
            </w:tcBorders>
            <w:vAlign w:val="center"/>
            <w:hideMark/>
          </w:tcPr>
          <w:p w14:paraId="233FA5DA" w14:textId="77777777" w:rsidR="00E36D06" w:rsidRPr="007F5525" w:rsidRDefault="00E36D06" w:rsidP="00C953A7">
            <w:pPr>
              <w:jc w:val="center"/>
              <w:rPr>
                <w:rFonts w:cstheme="minorHAnsi"/>
                <w:sz w:val="24"/>
                <w:szCs w:val="24"/>
              </w:rPr>
            </w:pPr>
            <w:r w:rsidRPr="007F5525">
              <w:rPr>
                <w:rFonts w:cstheme="minorHAnsi"/>
                <w:sz w:val="24"/>
                <w:szCs w:val="24"/>
              </w:rPr>
              <w:t>One year old</w:t>
            </w:r>
          </w:p>
        </w:tc>
        <w:tc>
          <w:tcPr>
            <w:tcW w:w="1618" w:type="dxa"/>
            <w:tcBorders>
              <w:top w:val="single" w:sz="4" w:space="0" w:color="auto"/>
              <w:left w:val="single" w:sz="4" w:space="0" w:color="auto"/>
              <w:bottom w:val="single" w:sz="4" w:space="0" w:color="auto"/>
              <w:right w:val="single" w:sz="4" w:space="0" w:color="auto"/>
            </w:tcBorders>
            <w:vAlign w:val="center"/>
          </w:tcPr>
          <w:p w14:paraId="5BCA6D9B" w14:textId="77777777" w:rsidR="00E36D06" w:rsidRPr="007F5525" w:rsidRDefault="00E36D06" w:rsidP="00C953A7">
            <w:pPr>
              <w:jc w:val="center"/>
              <w:rPr>
                <w:rFonts w:cstheme="minorHAnsi"/>
                <w:b/>
                <w:bCs/>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7FDBA77D" w14:textId="77777777" w:rsidR="00E36D06" w:rsidRPr="007F5525" w:rsidRDefault="00E36D06" w:rsidP="00C953A7">
            <w:pPr>
              <w:jc w:val="center"/>
              <w:rPr>
                <w:rFonts w:cstheme="minorHAnsi"/>
                <w:b/>
                <w:bCs/>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28B55634" w14:textId="77777777" w:rsidR="00E36D06" w:rsidRPr="007F5525" w:rsidRDefault="00E36D06" w:rsidP="00C953A7">
            <w:pPr>
              <w:jc w:val="center"/>
              <w:rPr>
                <w:rFonts w:cstheme="minorHAnsi"/>
                <w:b/>
                <w:bCs/>
                <w:sz w:val="24"/>
                <w:szCs w:val="24"/>
              </w:rPr>
            </w:pPr>
            <w:r w:rsidRPr="007F5525">
              <w:rPr>
                <w:rFonts w:cstheme="minorHAnsi"/>
                <w:b/>
                <w:bCs/>
                <w:sz w:val="24"/>
                <w:szCs w:val="24"/>
              </w:rPr>
              <w:t>Ref</w:t>
            </w:r>
          </w:p>
        </w:tc>
      </w:tr>
      <w:tr w:rsidR="00E36D06" w:rsidRPr="007F5525" w14:paraId="154A839A" w14:textId="77777777" w:rsidTr="00C953A7">
        <w:tc>
          <w:tcPr>
            <w:tcW w:w="1870" w:type="dxa"/>
            <w:vMerge/>
            <w:tcBorders>
              <w:left w:val="single" w:sz="4" w:space="0" w:color="auto"/>
              <w:right w:val="single" w:sz="4" w:space="0" w:color="auto"/>
            </w:tcBorders>
            <w:vAlign w:val="center"/>
            <w:hideMark/>
          </w:tcPr>
          <w:p w14:paraId="02EA7118"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77014842" w14:textId="77777777" w:rsidR="00E36D06" w:rsidRPr="007F5525" w:rsidRDefault="00E36D06" w:rsidP="00C953A7">
            <w:pPr>
              <w:jc w:val="center"/>
              <w:rPr>
                <w:rFonts w:cstheme="minorHAnsi"/>
                <w:sz w:val="24"/>
                <w:szCs w:val="24"/>
              </w:rPr>
            </w:pPr>
            <w:r w:rsidRPr="007F5525">
              <w:rPr>
                <w:rFonts w:cstheme="minorHAnsi"/>
                <w:sz w:val="24"/>
                <w:szCs w:val="24"/>
              </w:rPr>
              <w:t>Two years old</w:t>
            </w:r>
          </w:p>
        </w:tc>
        <w:tc>
          <w:tcPr>
            <w:tcW w:w="1618" w:type="dxa"/>
            <w:tcBorders>
              <w:top w:val="single" w:sz="4" w:space="0" w:color="auto"/>
              <w:left w:val="single" w:sz="4" w:space="0" w:color="auto"/>
              <w:bottom w:val="single" w:sz="4" w:space="0" w:color="auto"/>
              <w:right w:val="single" w:sz="4" w:space="0" w:color="auto"/>
            </w:tcBorders>
            <w:vAlign w:val="center"/>
          </w:tcPr>
          <w:p w14:paraId="073E0212" w14:textId="77777777" w:rsidR="00E36D06" w:rsidRPr="007F5525" w:rsidRDefault="00E36D06" w:rsidP="00C953A7">
            <w:pPr>
              <w:jc w:val="center"/>
              <w:rPr>
                <w:rFonts w:cstheme="minorHAnsi"/>
                <w:sz w:val="24"/>
                <w:szCs w:val="24"/>
              </w:rPr>
            </w:pPr>
            <w:r w:rsidRPr="007F5525">
              <w:rPr>
                <w:rFonts w:cstheme="minorHAnsi"/>
                <w:sz w:val="24"/>
                <w:szCs w:val="24"/>
              </w:rPr>
              <w:t>3.79</w:t>
            </w:r>
          </w:p>
        </w:tc>
        <w:tc>
          <w:tcPr>
            <w:tcW w:w="1618" w:type="dxa"/>
            <w:tcBorders>
              <w:top w:val="single" w:sz="4" w:space="0" w:color="auto"/>
              <w:left w:val="single" w:sz="4" w:space="0" w:color="auto"/>
              <w:bottom w:val="single" w:sz="4" w:space="0" w:color="auto"/>
              <w:right w:val="single" w:sz="4" w:space="0" w:color="auto"/>
            </w:tcBorders>
            <w:vAlign w:val="center"/>
          </w:tcPr>
          <w:p w14:paraId="70E21AEB" w14:textId="77777777" w:rsidR="00E36D06" w:rsidRPr="007F5525" w:rsidRDefault="00E36D06" w:rsidP="00C953A7">
            <w:pPr>
              <w:jc w:val="center"/>
              <w:rPr>
                <w:rFonts w:cstheme="minorHAnsi"/>
                <w:sz w:val="24"/>
                <w:szCs w:val="24"/>
              </w:rPr>
            </w:pPr>
            <w:r w:rsidRPr="007F5525">
              <w:rPr>
                <w:rFonts w:cstheme="minorHAnsi"/>
                <w:sz w:val="24"/>
                <w:szCs w:val="24"/>
              </w:rPr>
              <w:t>[1.50-9.60]</w:t>
            </w:r>
          </w:p>
        </w:tc>
        <w:tc>
          <w:tcPr>
            <w:tcW w:w="1618" w:type="dxa"/>
            <w:tcBorders>
              <w:top w:val="single" w:sz="4" w:space="0" w:color="auto"/>
              <w:left w:val="single" w:sz="4" w:space="0" w:color="auto"/>
              <w:bottom w:val="single" w:sz="4" w:space="0" w:color="auto"/>
              <w:right w:val="single" w:sz="4" w:space="0" w:color="auto"/>
            </w:tcBorders>
          </w:tcPr>
          <w:p w14:paraId="2D2F93EC" w14:textId="77777777" w:rsidR="00E36D06" w:rsidRPr="007F5525" w:rsidRDefault="00E36D06" w:rsidP="00C953A7">
            <w:pPr>
              <w:jc w:val="center"/>
              <w:rPr>
                <w:rFonts w:cstheme="minorHAnsi"/>
                <w:sz w:val="24"/>
                <w:szCs w:val="24"/>
              </w:rPr>
            </w:pPr>
            <w:r w:rsidRPr="007F5525">
              <w:rPr>
                <w:rFonts w:cstheme="minorHAnsi"/>
                <w:sz w:val="24"/>
                <w:szCs w:val="24"/>
              </w:rPr>
              <w:t>&lt;0.01</w:t>
            </w:r>
          </w:p>
        </w:tc>
      </w:tr>
      <w:tr w:rsidR="00E36D06" w:rsidRPr="007F5525" w14:paraId="5224CB5D" w14:textId="77777777" w:rsidTr="00C953A7">
        <w:trPr>
          <w:trHeight w:val="428"/>
        </w:trPr>
        <w:tc>
          <w:tcPr>
            <w:tcW w:w="1870" w:type="dxa"/>
            <w:vMerge/>
            <w:tcBorders>
              <w:left w:val="single" w:sz="4" w:space="0" w:color="auto"/>
              <w:right w:val="single" w:sz="4" w:space="0" w:color="auto"/>
            </w:tcBorders>
            <w:vAlign w:val="center"/>
            <w:hideMark/>
          </w:tcPr>
          <w:p w14:paraId="66A76DA1"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4025ACA7" w14:textId="77777777" w:rsidR="00E36D06" w:rsidRPr="007F5525" w:rsidRDefault="00E36D06" w:rsidP="00C953A7">
            <w:pPr>
              <w:jc w:val="center"/>
              <w:rPr>
                <w:rFonts w:cstheme="minorHAnsi"/>
                <w:sz w:val="24"/>
                <w:szCs w:val="24"/>
              </w:rPr>
            </w:pPr>
            <w:r w:rsidRPr="007F5525">
              <w:rPr>
                <w:rFonts w:cstheme="minorHAnsi"/>
                <w:sz w:val="24"/>
                <w:szCs w:val="24"/>
              </w:rPr>
              <w:t>Three years old</w:t>
            </w:r>
          </w:p>
        </w:tc>
        <w:tc>
          <w:tcPr>
            <w:tcW w:w="1618" w:type="dxa"/>
            <w:tcBorders>
              <w:top w:val="single" w:sz="4" w:space="0" w:color="auto"/>
              <w:left w:val="single" w:sz="4" w:space="0" w:color="auto"/>
              <w:bottom w:val="single" w:sz="4" w:space="0" w:color="auto"/>
              <w:right w:val="single" w:sz="4" w:space="0" w:color="auto"/>
            </w:tcBorders>
            <w:vAlign w:val="center"/>
          </w:tcPr>
          <w:p w14:paraId="005D637B" w14:textId="77777777" w:rsidR="00E36D06" w:rsidRPr="007F5525" w:rsidRDefault="00E36D06" w:rsidP="00C953A7">
            <w:pPr>
              <w:jc w:val="center"/>
              <w:rPr>
                <w:rFonts w:cstheme="minorHAnsi"/>
                <w:sz w:val="24"/>
                <w:szCs w:val="24"/>
              </w:rPr>
            </w:pPr>
            <w:r w:rsidRPr="007F5525">
              <w:rPr>
                <w:rFonts w:cstheme="minorHAnsi"/>
                <w:sz w:val="24"/>
                <w:szCs w:val="24"/>
              </w:rPr>
              <w:t>2.32</w:t>
            </w:r>
          </w:p>
        </w:tc>
        <w:tc>
          <w:tcPr>
            <w:tcW w:w="1618" w:type="dxa"/>
            <w:tcBorders>
              <w:top w:val="single" w:sz="4" w:space="0" w:color="auto"/>
              <w:left w:val="single" w:sz="4" w:space="0" w:color="auto"/>
              <w:bottom w:val="single" w:sz="4" w:space="0" w:color="auto"/>
              <w:right w:val="single" w:sz="4" w:space="0" w:color="auto"/>
            </w:tcBorders>
            <w:vAlign w:val="center"/>
          </w:tcPr>
          <w:p w14:paraId="19BE0CE0" w14:textId="77777777" w:rsidR="00E36D06" w:rsidRPr="007F5525" w:rsidRDefault="00E36D06" w:rsidP="00C953A7">
            <w:pPr>
              <w:jc w:val="center"/>
              <w:rPr>
                <w:rFonts w:cstheme="minorHAnsi"/>
                <w:sz w:val="24"/>
                <w:szCs w:val="24"/>
              </w:rPr>
            </w:pPr>
            <w:r w:rsidRPr="007F5525">
              <w:rPr>
                <w:rFonts w:cstheme="minorHAnsi"/>
                <w:sz w:val="24"/>
                <w:szCs w:val="24"/>
              </w:rPr>
              <w:t>[0.95-</w:t>
            </w:r>
            <w:r>
              <w:rPr>
                <w:rFonts w:cstheme="minorHAnsi"/>
                <w:sz w:val="24"/>
                <w:szCs w:val="24"/>
              </w:rPr>
              <w:t>5.64]</w:t>
            </w:r>
          </w:p>
        </w:tc>
        <w:tc>
          <w:tcPr>
            <w:tcW w:w="1618" w:type="dxa"/>
            <w:tcBorders>
              <w:top w:val="single" w:sz="4" w:space="0" w:color="auto"/>
              <w:left w:val="single" w:sz="4" w:space="0" w:color="auto"/>
              <w:bottom w:val="single" w:sz="4" w:space="0" w:color="auto"/>
              <w:right w:val="single" w:sz="4" w:space="0" w:color="auto"/>
            </w:tcBorders>
          </w:tcPr>
          <w:p w14:paraId="2B00A0C7" w14:textId="77777777" w:rsidR="00E36D06" w:rsidRPr="007F5525" w:rsidRDefault="00E36D06" w:rsidP="00C953A7">
            <w:pPr>
              <w:jc w:val="center"/>
              <w:rPr>
                <w:rFonts w:cstheme="minorHAnsi"/>
                <w:sz w:val="24"/>
                <w:szCs w:val="24"/>
              </w:rPr>
            </w:pPr>
            <w:r>
              <w:rPr>
                <w:rFonts w:cstheme="minorHAnsi"/>
                <w:sz w:val="24"/>
                <w:szCs w:val="24"/>
              </w:rPr>
              <w:t>0.06</w:t>
            </w:r>
          </w:p>
        </w:tc>
      </w:tr>
      <w:tr w:rsidR="00E36D06" w:rsidRPr="007F5525" w14:paraId="217576B6" w14:textId="77777777" w:rsidTr="00C953A7">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689A8F5E" w14:textId="77777777" w:rsidR="00E36D06" w:rsidRPr="007F5525" w:rsidRDefault="00E36D06" w:rsidP="00C953A7">
            <w:pPr>
              <w:jc w:val="center"/>
              <w:rPr>
                <w:rFonts w:cstheme="minorHAnsi"/>
                <w:sz w:val="24"/>
                <w:szCs w:val="24"/>
              </w:rPr>
            </w:pPr>
            <w:r w:rsidRPr="007F5525">
              <w:rPr>
                <w:rFonts w:cstheme="minorHAnsi"/>
                <w:sz w:val="24"/>
                <w:szCs w:val="24"/>
              </w:rPr>
              <w:t>Sex of the Child</w:t>
            </w:r>
          </w:p>
        </w:tc>
        <w:tc>
          <w:tcPr>
            <w:tcW w:w="2625" w:type="dxa"/>
            <w:tcBorders>
              <w:top w:val="single" w:sz="4" w:space="0" w:color="auto"/>
              <w:left w:val="single" w:sz="4" w:space="0" w:color="auto"/>
              <w:bottom w:val="single" w:sz="4" w:space="0" w:color="auto"/>
              <w:right w:val="single" w:sz="4" w:space="0" w:color="auto"/>
            </w:tcBorders>
            <w:vAlign w:val="center"/>
            <w:hideMark/>
          </w:tcPr>
          <w:p w14:paraId="0C7AE829" w14:textId="77777777" w:rsidR="00E36D06" w:rsidRPr="007F5525" w:rsidRDefault="00E36D06" w:rsidP="00C953A7">
            <w:pPr>
              <w:jc w:val="center"/>
              <w:rPr>
                <w:rFonts w:cstheme="minorHAnsi"/>
                <w:sz w:val="24"/>
                <w:szCs w:val="24"/>
              </w:rPr>
            </w:pPr>
            <w:r w:rsidRPr="007F5525">
              <w:rPr>
                <w:rFonts w:cstheme="minorHAnsi"/>
                <w:sz w:val="24"/>
                <w:szCs w:val="24"/>
              </w:rPr>
              <w:t>Male</w:t>
            </w:r>
          </w:p>
        </w:tc>
        <w:tc>
          <w:tcPr>
            <w:tcW w:w="1618" w:type="dxa"/>
            <w:tcBorders>
              <w:top w:val="single" w:sz="4" w:space="0" w:color="auto"/>
              <w:left w:val="single" w:sz="4" w:space="0" w:color="auto"/>
              <w:bottom w:val="single" w:sz="4" w:space="0" w:color="auto"/>
              <w:right w:val="single" w:sz="4" w:space="0" w:color="auto"/>
            </w:tcBorders>
            <w:vAlign w:val="center"/>
          </w:tcPr>
          <w:p w14:paraId="62292CA8"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60A318F9"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6C01F088"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r>
      <w:tr w:rsidR="00E36D06" w:rsidRPr="007F5525" w14:paraId="40D5F2EC"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3257EDC6"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72498D9B" w14:textId="77777777" w:rsidR="00E36D06" w:rsidRPr="007F5525" w:rsidRDefault="00E36D06" w:rsidP="00C953A7">
            <w:pPr>
              <w:jc w:val="center"/>
              <w:rPr>
                <w:rFonts w:cstheme="minorHAnsi"/>
                <w:sz w:val="24"/>
                <w:szCs w:val="24"/>
              </w:rPr>
            </w:pPr>
            <w:r w:rsidRPr="007F5525">
              <w:rPr>
                <w:rFonts w:cstheme="minorHAnsi"/>
                <w:sz w:val="24"/>
                <w:szCs w:val="24"/>
              </w:rPr>
              <w:t>Female</w:t>
            </w:r>
          </w:p>
        </w:tc>
        <w:tc>
          <w:tcPr>
            <w:tcW w:w="1618" w:type="dxa"/>
            <w:tcBorders>
              <w:top w:val="single" w:sz="4" w:space="0" w:color="auto"/>
              <w:left w:val="single" w:sz="4" w:space="0" w:color="auto"/>
              <w:bottom w:val="single" w:sz="4" w:space="0" w:color="auto"/>
              <w:right w:val="single" w:sz="4" w:space="0" w:color="auto"/>
            </w:tcBorders>
            <w:vAlign w:val="center"/>
          </w:tcPr>
          <w:p w14:paraId="0ACA7ADC" w14:textId="77777777" w:rsidR="00E36D06" w:rsidRPr="007F5525" w:rsidRDefault="00E36D06" w:rsidP="00C953A7">
            <w:pPr>
              <w:jc w:val="center"/>
              <w:rPr>
                <w:rFonts w:cstheme="minorHAnsi"/>
                <w:sz w:val="24"/>
                <w:szCs w:val="24"/>
              </w:rPr>
            </w:pPr>
            <w:r w:rsidRPr="007F5525">
              <w:rPr>
                <w:rFonts w:cstheme="minorHAnsi"/>
                <w:sz w:val="24"/>
                <w:szCs w:val="24"/>
              </w:rPr>
              <w:t>1.40</w:t>
            </w:r>
          </w:p>
        </w:tc>
        <w:tc>
          <w:tcPr>
            <w:tcW w:w="1618" w:type="dxa"/>
            <w:tcBorders>
              <w:top w:val="single" w:sz="4" w:space="0" w:color="auto"/>
              <w:left w:val="single" w:sz="4" w:space="0" w:color="auto"/>
              <w:bottom w:val="single" w:sz="4" w:space="0" w:color="auto"/>
              <w:right w:val="single" w:sz="4" w:space="0" w:color="auto"/>
            </w:tcBorders>
            <w:vAlign w:val="center"/>
          </w:tcPr>
          <w:p w14:paraId="14D7EDAA" w14:textId="77777777" w:rsidR="00E36D06" w:rsidRPr="007F5525" w:rsidRDefault="00E36D06" w:rsidP="00C953A7">
            <w:pPr>
              <w:jc w:val="center"/>
              <w:rPr>
                <w:rFonts w:cstheme="minorHAnsi"/>
                <w:sz w:val="24"/>
                <w:szCs w:val="24"/>
              </w:rPr>
            </w:pPr>
            <w:r>
              <w:rPr>
                <w:rFonts w:cstheme="minorHAnsi"/>
                <w:sz w:val="24"/>
                <w:szCs w:val="24"/>
              </w:rPr>
              <w:t>[0.</w:t>
            </w:r>
            <w:r w:rsidRPr="007F5525">
              <w:rPr>
                <w:rFonts w:cstheme="minorHAnsi"/>
                <w:sz w:val="24"/>
                <w:szCs w:val="24"/>
              </w:rPr>
              <w:t xml:space="preserve"> 65</w:t>
            </w:r>
            <w:r>
              <w:rPr>
                <w:rFonts w:cstheme="minorHAnsi"/>
                <w:sz w:val="24"/>
                <w:szCs w:val="24"/>
              </w:rPr>
              <w:t>-3.03]</w:t>
            </w:r>
          </w:p>
        </w:tc>
        <w:tc>
          <w:tcPr>
            <w:tcW w:w="1618" w:type="dxa"/>
            <w:tcBorders>
              <w:top w:val="single" w:sz="4" w:space="0" w:color="auto"/>
              <w:left w:val="single" w:sz="4" w:space="0" w:color="auto"/>
              <w:bottom w:val="single" w:sz="4" w:space="0" w:color="auto"/>
              <w:right w:val="single" w:sz="4" w:space="0" w:color="auto"/>
            </w:tcBorders>
          </w:tcPr>
          <w:p w14:paraId="3AC55EE3" w14:textId="77777777" w:rsidR="00E36D06" w:rsidRPr="007F5525" w:rsidRDefault="00E36D06" w:rsidP="00C953A7">
            <w:pPr>
              <w:jc w:val="center"/>
              <w:rPr>
                <w:rFonts w:cstheme="minorHAnsi"/>
                <w:sz w:val="24"/>
                <w:szCs w:val="24"/>
              </w:rPr>
            </w:pPr>
            <w:r>
              <w:rPr>
                <w:rFonts w:cstheme="minorHAnsi"/>
                <w:sz w:val="24"/>
                <w:szCs w:val="24"/>
              </w:rPr>
              <w:t>0.39</w:t>
            </w:r>
          </w:p>
        </w:tc>
      </w:tr>
      <w:tr w:rsidR="00E36D06" w:rsidRPr="007F5525" w14:paraId="413D003B" w14:textId="77777777" w:rsidTr="00C953A7">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6AD51402" w14:textId="77777777" w:rsidR="00E36D06" w:rsidRPr="007F5525" w:rsidRDefault="00E36D06" w:rsidP="00C953A7">
            <w:pPr>
              <w:jc w:val="center"/>
              <w:rPr>
                <w:rFonts w:cstheme="minorHAnsi"/>
                <w:sz w:val="24"/>
                <w:szCs w:val="24"/>
              </w:rPr>
            </w:pPr>
            <w:r w:rsidRPr="007F5525">
              <w:rPr>
                <w:rFonts w:cstheme="minorHAnsi"/>
                <w:sz w:val="24"/>
                <w:szCs w:val="24"/>
              </w:rPr>
              <w:t>Highest educational level</w:t>
            </w:r>
          </w:p>
        </w:tc>
        <w:tc>
          <w:tcPr>
            <w:tcW w:w="2625" w:type="dxa"/>
            <w:tcBorders>
              <w:top w:val="single" w:sz="4" w:space="0" w:color="auto"/>
              <w:left w:val="single" w:sz="4" w:space="0" w:color="auto"/>
              <w:bottom w:val="single" w:sz="4" w:space="0" w:color="auto"/>
              <w:right w:val="single" w:sz="4" w:space="0" w:color="auto"/>
            </w:tcBorders>
            <w:vAlign w:val="center"/>
            <w:hideMark/>
          </w:tcPr>
          <w:p w14:paraId="0B6D8D7C" w14:textId="77777777" w:rsidR="00E36D06" w:rsidRPr="007F5525" w:rsidRDefault="00E36D06" w:rsidP="00C953A7">
            <w:pPr>
              <w:jc w:val="center"/>
              <w:rPr>
                <w:rFonts w:cstheme="minorHAnsi"/>
                <w:sz w:val="24"/>
                <w:szCs w:val="24"/>
              </w:rPr>
            </w:pPr>
            <w:r w:rsidRPr="007F5525">
              <w:rPr>
                <w:rFonts w:cstheme="minorHAnsi"/>
                <w:sz w:val="24"/>
                <w:szCs w:val="24"/>
              </w:rPr>
              <w:t>No education</w:t>
            </w:r>
          </w:p>
        </w:tc>
        <w:tc>
          <w:tcPr>
            <w:tcW w:w="1618" w:type="dxa"/>
            <w:tcBorders>
              <w:top w:val="single" w:sz="4" w:space="0" w:color="auto"/>
              <w:left w:val="single" w:sz="4" w:space="0" w:color="auto"/>
              <w:bottom w:val="single" w:sz="4" w:space="0" w:color="auto"/>
              <w:right w:val="single" w:sz="4" w:space="0" w:color="auto"/>
            </w:tcBorders>
            <w:vAlign w:val="center"/>
          </w:tcPr>
          <w:p w14:paraId="04D99229"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29C8E6A5"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1B4500D1"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r>
      <w:tr w:rsidR="00E36D06" w:rsidRPr="007F5525" w14:paraId="435DDE8A"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5C3EBB03"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6D994B49" w14:textId="77777777" w:rsidR="00E36D06" w:rsidRPr="007F5525" w:rsidRDefault="00E36D06" w:rsidP="00C953A7">
            <w:pPr>
              <w:jc w:val="center"/>
              <w:rPr>
                <w:rFonts w:cstheme="minorHAnsi"/>
                <w:sz w:val="24"/>
                <w:szCs w:val="24"/>
              </w:rPr>
            </w:pPr>
            <w:r w:rsidRPr="007F5525">
              <w:rPr>
                <w:rFonts w:cstheme="minorHAnsi"/>
                <w:sz w:val="24"/>
                <w:szCs w:val="24"/>
              </w:rPr>
              <w:t>Primary</w:t>
            </w:r>
          </w:p>
        </w:tc>
        <w:tc>
          <w:tcPr>
            <w:tcW w:w="1618" w:type="dxa"/>
            <w:tcBorders>
              <w:top w:val="single" w:sz="4" w:space="0" w:color="auto"/>
              <w:left w:val="single" w:sz="4" w:space="0" w:color="auto"/>
              <w:bottom w:val="single" w:sz="4" w:space="0" w:color="auto"/>
              <w:right w:val="single" w:sz="4" w:space="0" w:color="auto"/>
            </w:tcBorders>
            <w:vAlign w:val="center"/>
          </w:tcPr>
          <w:p w14:paraId="2CEA309F" w14:textId="77777777" w:rsidR="00E36D06" w:rsidRPr="007F5525" w:rsidRDefault="00E36D06" w:rsidP="00C953A7">
            <w:pPr>
              <w:jc w:val="center"/>
              <w:rPr>
                <w:rFonts w:cstheme="minorHAnsi"/>
                <w:sz w:val="24"/>
                <w:szCs w:val="24"/>
              </w:rPr>
            </w:pPr>
            <w:r w:rsidRPr="007F5525">
              <w:rPr>
                <w:rFonts w:cstheme="minorHAnsi"/>
                <w:sz w:val="24"/>
                <w:szCs w:val="24"/>
              </w:rPr>
              <w:t>1.6</w:t>
            </w:r>
            <w:r>
              <w:rPr>
                <w:rFonts w:cstheme="minorHAnsi"/>
                <w:sz w:val="24"/>
                <w:szCs w:val="24"/>
              </w:rPr>
              <w:t>6</w:t>
            </w:r>
          </w:p>
        </w:tc>
        <w:tc>
          <w:tcPr>
            <w:tcW w:w="1618" w:type="dxa"/>
            <w:tcBorders>
              <w:top w:val="single" w:sz="4" w:space="0" w:color="auto"/>
              <w:left w:val="single" w:sz="4" w:space="0" w:color="auto"/>
              <w:bottom w:val="single" w:sz="4" w:space="0" w:color="auto"/>
              <w:right w:val="single" w:sz="4" w:space="0" w:color="auto"/>
            </w:tcBorders>
            <w:vAlign w:val="center"/>
          </w:tcPr>
          <w:p w14:paraId="2F581C67" w14:textId="77777777" w:rsidR="00E36D06" w:rsidRPr="007F5525" w:rsidRDefault="00E36D06" w:rsidP="00C953A7">
            <w:pPr>
              <w:jc w:val="center"/>
              <w:rPr>
                <w:rFonts w:cstheme="minorHAnsi"/>
                <w:sz w:val="24"/>
                <w:szCs w:val="24"/>
              </w:rPr>
            </w:pPr>
            <w:r>
              <w:rPr>
                <w:rFonts w:cstheme="minorHAnsi"/>
                <w:sz w:val="24"/>
                <w:szCs w:val="24"/>
              </w:rPr>
              <w:t>[0.46-6.03]</w:t>
            </w:r>
          </w:p>
        </w:tc>
        <w:tc>
          <w:tcPr>
            <w:tcW w:w="1618" w:type="dxa"/>
            <w:tcBorders>
              <w:top w:val="single" w:sz="4" w:space="0" w:color="auto"/>
              <w:left w:val="single" w:sz="4" w:space="0" w:color="auto"/>
              <w:bottom w:val="single" w:sz="4" w:space="0" w:color="auto"/>
              <w:right w:val="single" w:sz="4" w:space="0" w:color="auto"/>
            </w:tcBorders>
          </w:tcPr>
          <w:p w14:paraId="624670AF" w14:textId="77777777" w:rsidR="00E36D06" w:rsidRPr="007F5525" w:rsidRDefault="00E36D06" w:rsidP="00C953A7">
            <w:pPr>
              <w:jc w:val="center"/>
              <w:rPr>
                <w:rFonts w:cstheme="minorHAnsi"/>
                <w:sz w:val="24"/>
                <w:szCs w:val="24"/>
              </w:rPr>
            </w:pPr>
            <w:r>
              <w:rPr>
                <w:rFonts w:cstheme="minorHAnsi"/>
                <w:sz w:val="24"/>
                <w:szCs w:val="24"/>
              </w:rPr>
              <w:t>0.44</w:t>
            </w:r>
          </w:p>
        </w:tc>
      </w:tr>
      <w:tr w:rsidR="00E36D06" w:rsidRPr="007F5525" w14:paraId="369BF1F2"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032F1C5E"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415FF985" w14:textId="77777777" w:rsidR="00E36D06" w:rsidRPr="007F5525" w:rsidRDefault="00E36D06" w:rsidP="00C953A7">
            <w:pPr>
              <w:jc w:val="center"/>
              <w:rPr>
                <w:rFonts w:cstheme="minorHAnsi"/>
                <w:sz w:val="24"/>
                <w:szCs w:val="24"/>
              </w:rPr>
            </w:pPr>
            <w:r w:rsidRPr="007F5525">
              <w:rPr>
                <w:rFonts w:cstheme="minorHAnsi"/>
                <w:sz w:val="24"/>
                <w:szCs w:val="24"/>
              </w:rPr>
              <w:t>Secondary</w:t>
            </w:r>
          </w:p>
        </w:tc>
        <w:tc>
          <w:tcPr>
            <w:tcW w:w="1618" w:type="dxa"/>
            <w:tcBorders>
              <w:top w:val="single" w:sz="4" w:space="0" w:color="auto"/>
              <w:left w:val="single" w:sz="4" w:space="0" w:color="auto"/>
              <w:bottom w:val="single" w:sz="4" w:space="0" w:color="auto"/>
              <w:right w:val="single" w:sz="4" w:space="0" w:color="auto"/>
            </w:tcBorders>
            <w:vAlign w:val="center"/>
          </w:tcPr>
          <w:p w14:paraId="19F44614" w14:textId="77777777" w:rsidR="00E36D06" w:rsidRPr="007F5525" w:rsidRDefault="00E36D06" w:rsidP="00C953A7">
            <w:pPr>
              <w:jc w:val="center"/>
              <w:rPr>
                <w:rFonts w:cstheme="minorHAnsi"/>
                <w:sz w:val="24"/>
                <w:szCs w:val="24"/>
              </w:rPr>
            </w:pPr>
            <w:r>
              <w:rPr>
                <w:rFonts w:cstheme="minorHAnsi"/>
                <w:sz w:val="24"/>
                <w:szCs w:val="24"/>
              </w:rPr>
              <w:t>0.91</w:t>
            </w:r>
          </w:p>
        </w:tc>
        <w:tc>
          <w:tcPr>
            <w:tcW w:w="1618" w:type="dxa"/>
            <w:tcBorders>
              <w:top w:val="single" w:sz="4" w:space="0" w:color="auto"/>
              <w:left w:val="single" w:sz="4" w:space="0" w:color="auto"/>
              <w:bottom w:val="single" w:sz="4" w:space="0" w:color="auto"/>
              <w:right w:val="single" w:sz="4" w:space="0" w:color="auto"/>
            </w:tcBorders>
            <w:vAlign w:val="center"/>
          </w:tcPr>
          <w:p w14:paraId="4B3120D1" w14:textId="77777777" w:rsidR="00E36D06" w:rsidRPr="007F5525" w:rsidRDefault="00E36D06" w:rsidP="00C953A7">
            <w:pPr>
              <w:jc w:val="center"/>
              <w:rPr>
                <w:rFonts w:cstheme="minorHAnsi"/>
                <w:sz w:val="24"/>
                <w:szCs w:val="24"/>
              </w:rPr>
            </w:pPr>
            <w:r>
              <w:rPr>
                <w:rFonts w:cstheme="minorHAnsi"/>
                <w:sz w:val="24"/>
                <w:szCs w:val="24"/>
              </w:rPr>
              <w:t>[0.26-3.18]</w:t>
            </w:r>
          </w:p>
        </w:tc>
        <w:tc>
          <w:tcPr>
            <w:tcW w:w="1618" w:type="dxa"/>
            <w:tcBorders>
              <w:top w:val="single" w:sz="4" w:space="0" w:color="auto"/>
              <w:left w:val="single" w:sz="4" w:space="0" w:color="auto"/>
              <w:bottom w:val="single" w:sz="4" w:space="0" w:color="auto"/>
              <w:right w:val="single" w:sz="4" w:space="0" w:color="auto"/>
            </w:tcBorders>
          </w:tcPr>
          <w:p w14:paraId="36C4CA91" w14:textId="77777777" w:rsidR="00E36D06" w:rsidRPr="007F5525" w:rsidRDefault="00E36D06" w:rsidP="00C953A7">
            <w:pPr>
              <w:jc w:val="center"/>
              <w:rPr>
                <w:rFonts w:cstheme="minorHAnsi"/>
                <w:sz w:val="24"/>
                <w:szCs w:val="24"/>
              </w:rPr>
            </w:pPr>
            <w:r>
              <w:rPr>
                <w:rFonts w:cstheme="minorHAnsi"/>
                <w:sz w:val="24"/>
                <w:szCs w:val="24"/>
              </w:rPr>
              <w:t>0.88</w:t>
            </w:r>
          </w:p>
        </w:tc>
      </w:tr>
      <w:tr w:rsidR="00E36D06" w:rsidRPr="007F5525" w14:paraId="27FB91B7"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179D9F84"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14FD5330" w14:textId="77777777" w:rsidR="00E36D06" w:rsidRPr="007F5525" w:rsidRDefault="00E36D06" w:rsidP="00C953A7">
            <w:pPr>
              <w:jc w:val="center"/>
              <w:rPr>
                <w:rFonts w:cstheme="minorHAnsi"/>
                <w:sz w:val="24"/>
                <w:szCs w:val="24"/>
              </w:rPr>
            </w:pPr>
            <w:r w:rsidRPr="007F5525">
              <w:rPr>
                <w:rFonts w:cstheme="minorHAnsi"/>
                <w:sz w:val="24"/>
                <w:szCs w:val="24"/>
              </w:rPr>
              <w:t>Higher</w:t>
            </w:r>
          </w:p>
        </w:tc>
        <w:tc>
          <w:tcPr>
            <w:tcW w:w="1618" w:type="dxa"/>
            <w:tcBorders>
              <w:top w:val="single" w:sz="4" w:space="0" w:color="auto"/>
              <w:left w:val="single" w:sz="4" w:space="0" w:color="auto"/>
              <w:bottom w:val="single" w:sz="4" w:space="0" w:color="auto"/>
              <w:right w:val="single" w:sz="4" w:space="0" w:color="auto"/>
            </w:tcBorders>
            <w:vAlign w:val="center"/>
          </w:tcPr>
          <w:p w14:paraId="556D0FCF" w14:textId="77777777" w:rsidR="00E36D06" w:rsidRPr="007F5525" w:rsidRDefault="00E36D06" w:rsidP="00C953A7">
            <w:pPr>
              <w:jc w:val="center"/>
              <w:rPr>
                <w:rFonts w:cstheme="minorHAnsi"/>
                <w:sz w:val="24"/>
                <w:szCs w:val="24"/>
              </w:rPr>
            </w:pPr>
            <w:r>
              <w:rPr>
                <w:rFonts w:cstheme="minorHAnsi"/>
                <w:sz w:val="24"/>
                <w:szCs w:val="24"/>
              </w:rPr>
              <w:t>4.02</w:t>
            </w:r>
          </w:p>
        </w:tc>
        <w:tc>
          <w:tcPr>
            <w:tcW w:w="1618" w:type="dxa"/>
            <w:tcBorders>
              <w:top w:val="single" w:sz="4" w:space="0" w:color="auto"/>
              <w:left w:val="single" w:sz="4" w:space="0" w:color="auto"/>
              <w:bottom w:val="single" w:sz="4" w:space="0" w:color="auto"/>
              <w:right w:val="single" w:sz="4" w:space="0" w:color="auto"/>
            </w:tcBorders>
            <w:vAlign w:val="center"/>
          </w:tcPr>
          <w:p w14:paraId="54045AF4" w14:textId="77777777" w:rsidR="00E36D06" w:rsidRPr="007F5525" w:rsidRDefault="00E36D06" w:rsidP="00C953A7">
            <w:pPr>
              <w:jc w:val="center"/>
              <w:rPr>
                <w:rFonts w:cstheme="minorHAnsi"/>
                <w:sz w:val="24"/>
                <w:szCs w:val="24"/>
              </w:rPr>
            </w:pPr>
            <w:r>
              <w:rPr>
                <w:rFonts w:cstheme="minorHAnsi"/>
                <w:sz w:val="24"/>
                <w:szCs w:val="24"/>
              </w:rPr>
              <w:t>[0.51-31.83]</w:t>
            </w:r>
          </w:p>
        </w:tc>
        <w:tc>
          <w:tcPr>
            <w:tcW w:w="1618" w:type="dxa"/>
            <w:tcBorders>
              <w:top w:val="single" w:sz="4" w:space="0" w:color="auto"/>
              <w:left w:val="single" w:sz="4" w:space="0" w:color="auto"/>
              <w:bottom w:val="single" w:sz="4" w:space="0" w:color="auto"/>
              <w:right w:val="single" w:sz="4" w:space="0" w:color="auto"/>
            </w:tcBorders>
          </w:tcPr>
          <w:p w14:paraId="46222BEA" w14:textId="77777777" w:rsidR="00E36D06" w:rsidRPr="007F5525" w:rsidRDefault="00E36D06" w:rsidP="00C953A7">
            <w:pPr>
              <w:jc w:val="center"/>
              <w:rPr>
                <w:rFonts w:cstheme="minorHAnsi"/>
                <w:sz w:val="24"/>
                <w:szCs w:val="24"/>
              </w:rPr>
            </w:pPr>
            <w:r>
              <w:rPr>
                <w:rFonts w:cstheme="minorHAnsi"/>
                <w:sz w:val="24"/>
                <w:szCs w:val="24"/>
              </w:rPr>
              <w:t>0.19</w:t>
            </w:r>
          </w:p>
        </w:tc>
      </w:tr>
      <w:tr w:rsidR="00E36D06" w:rsidRPr="007F5525" w14:paraId="7F3C3F0F" w14:textId="77777777" w:rsidTr="00C953A7">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7911EDEC" w14:textId="77777777" w:rsidR="00E36D06" w:rsidRPr="007F5525" w:rsidRDefault="00E36D06" w:rsidP="00C953A7">
            <w:pPr>
              <w:jc w:val="center"/>
              <w:rPr>
                <w:rFonts w:cstheme="minorHAnsi"/>
                <w:sz w:val="24"/>
                <w:szCs w:val="24"/>
              </w:rPr>
            </w:pPr>
            <w:r w:rsidRPr="007F5525">
              <w:rPr>
                <w:rFonts w:cstheme="minorHAnsi"/>
                <w:sz w:val="24"/>
                <w:szCs w:val="24"/>
              </w:rPr>
              <w:t>Wealth index combined</w:t>
            </w:r>
          </w:p>
        </w:tc>
        <w:tc>
          <w:tcPr>
            <w:tcW w:w="2625" w:type="dxa"/>
            <w:tcBorders>
              <w:top w:val="single" w:sz="4" w:space="0" w:color="auto"/>
              <w:left w:val="single" w:sz="4" w:space="0" w:color="auto"/>
              <w:bottom w:val="single" w:sz="4" w:space="0" w:color="auto"/>
              <w:right w:val="single" w:sz="4" w:space="0" w:color="auto"/>
            </w:tcBorders>
            <w:vAlign w:val="center"/>
            <w:hideMark/>
          </w:tcPr>
          <w:p w14:paraId="3FE16BC6" w14:textId="77777777" w:rsidR="00E36D06" w:rsidRPr="007F5525" w:rsidRDefault="00E36D06" w:rsidP="00C953A7">
            <w:pPr>
              <w:jc w:val="center"/>
              <w:rPr>
                <w:rFonts w:cstheme="minorHAnsi"/>
                <w:sz w:val="24"/>
                <w:szCs w:val="24"/>
              </w:rPr>
            </w:pPr>
            <w:r w:rsidRPr="007F5525">
              <w:rPr>
                <w:rFonts w:cstheme="minorHAnsi"/>
                <w:sz w:val="24"/>
                <w:szCs w:val="24"/>
              </w:rPr>
              <w:t>Poorest</w:t>
            </w:r>
          </w:p>
        </w:tc>
        <w:tc>
          <w:tcPr>
            <w:tcW w:w="1618" w:type="dxa"/>
            <w:tcBorders>
              <w:top w:val="single" w:sz="4" w:space="0" w:color="auto"/>
              <w:left w:val="single" w:sz="4" w:space="0" w:color="auto"/>
              <w:bottom w:val="single" w:sz="4" w:space="0" w:color="auto"/>
              <w:right w:val="single" w:sz="4" w:space="0" w:color="auto"/>
            </w:tcBorders>
            <w:vAlign w:val="center"/>
          </w:tcPr>
          <w:p w14:paraId="45F05A47"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30C43D58"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737233DB"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r>
      <w:tr w:rsidR="00E36D06" w:rsidRPr="007F5525" w14:paraId="3FF885AE"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454C0EDF"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11E3548F" w14:textId="77777777" w:rsidR="00E36D06" w:rsidRPr="007F5525" w:rsidRDefault="00E36D06" w:rsidP="00C953A7">
            <w:pPr>
              <w:jc w:val="center"/>
              <w:rPr>
                <w:rFonts w:cstheme="minorHAnsi"/>
                <w:sz w:val="24"/>
                <w:szCs w:val="24"/>
              </w:rPr>
            </w:pPr>
            <w:r w:rsidRPr="007F5525">
              <w:rPr>
                <w:rFonts w:cstheme="minorHAnsi"/>
                <w:sz w:val="24"/>
                <w:szCs w:val="24"/>
              </w:rPr>
              <w:t>Poorer</w:t>
            </w:r>
          </w:p>
        </w:tc>
        <w:tc>
          <w:tcPr>
            <w:tcW w:w="1618" w:type="dxa"/>
            <w:tcBorders>
              <w:top w:val="single" w:sz="4" w:space="0" w:color="auto"/>
              <w:left w:val="single" w:sz="4" w:space="0" w:color="auto"/>
              <w:bottom w:val="single" w:sz="4" w:space="0" w:color="auto"/>
              <w:right w:val="single" w:sz="4" w:space="0" w:color="auto"/>
            </w:tcBorders>
            <w:vAlign w:val="center"/>
          </w:tcPr>
          <w:p w14:paraId="592FB9BB" w14:textId="77777777" w:rsidR="00E36D06" w:rsidRPr="007F5525" w:rsidRDefault="00E36D06" w:rsidP="00C953A7">
            <w:pPr>
              <w:jc w:val="center"/>
              <w:rPr>
                <w:rFonts w:cstheme="minorHAnsi"/>
                <w:sz w:val="24"/>
                <w:szCs w:val="24"/>
              </w:rPr>
            </w:pPr>
            <w:r>
              <w:rPr>
                <w:rFonts w:cstheme="minorHAnsi"/>
                <w:sz w:val="24"/>
                <w:szCs w:val="24"/>
              </w:rPr>
              <w:t>1.42</w:t>
            </w:r>
          </w:p>
        </w:tc>
        <w:tc>
          <w:tcPr>
            <w:tcW w:w="1618" w:type="dxa"/>
            <w:tcBorders>
              <w:top w:val="single" w:sz="4" w:space="0" w:color="auto"/>
              <w:left w:val="single" w:sz="4" w:space="0" w:color="auto"/>
              <w:bottom w:val="single" w:sz="4" w:space="0" w:color="auto"/>
              <w:right w:val="single" w:sz="4" w:space="0" w:color="auto"/>
            </w:tcBorders>
            <w:vAlign w:val="center"/>
          </w:tcPr>
          <w:p w14:paraId="16F5153A" w14:textId="77777777" w:rsidR="00E36D06" w:rsidRPr="007F5525" w:rsidRDefault="00E36D06" w:rsidP="00C953A7">
            <w:pPr>
              <w:jc w:val="center"/>
              <w:rPr>
                <w:rFonts w:cstheme="minorHAnsi"/>
                <w:sz w:val="24"/>
                <w:szCs w:val="24"/>
              </w:rPr>
            </w:pPr>
            <w:r>
              <w:rPr>
                <w:rFonts w:cstheme="minorHAnsi"/>
                <w:sz w:val="24"/>
                <w:szCs w:val="24"/>
              </w:rPr>
              <w:t>[0.48-4.26]</w:t>
            </w:r>
          </w:p>
        </w:tc>
        <w:tc>
          <w:tcPr>
            <w:tcW w:w="1618" w:type="dxa"/>
            <w:tcBorders>
              <w:top w:val="single" w:sz="4" w:space="0" w:color="auto"/>
              <w:left w:val="single" w:sz="4" w:space="0" w:color="auto"/>
              <w:bottom w:val="single" w:sz="4" w:space="0" w:color="auto"/>
              <w:right w:val="single" w:sz="4" w:space="0" w:color="auto"/>
            </w:tcBorders>
          </w:tcPr>
          <w:p w14:paraId="533C00D3" w14:textId="77777777" w:rsidR="00E36D06" w:rsidRPr="007F5525" w:rsidRDefault="00E36D06" w:rsidP="00C953A7">
            <w:pPr>
              <w:jc w:val="center"/>
              <w:rPr>
                <w:rFonts w:cstheme="minorHAnsi"/>
                <w:sz w:val="24"/>
                <w:szCs w:val="24"/>
              </w:rPr>
            </w:pPr>
            <w:r>
              <w:rPr>
                <w:rFonts w:cstheme="minorHAnsi"/>
                <w:sz w:val="24"/>
                <w:szCs w:val="24"/>
              </w:rPr>
              <w:t>0.52</w:t>
            </w:r>
          </w:p>
        </w:tc>
      </w:tr>
      <w:tr w:rsidR="00E36D06" w:rsidRPr="007F5525" w14:paraId="6CB747E2"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3C2D34AF"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2D4AFA90" w14:textId="77777777" w:rsidR="00E36D06" w:rsidRPr="007F5525" w:rsidRDefault="00E36D06" w:rsidP="00C953A7">
            <w:pPr>
              <w:jc w:val="center"/>
              <w:rPr>
                <w:rFonts w:cstheme="minorHAnsi"/>
                <w:sz w:val="24"/>
                <w:szCs w:val="24"/>
              </w:rPr>
            </w:pPr>
            <w:r w:rsidRPr="007F5525">
              <w:rPr>
                <w:rFonts w:cstheme="minorHAnsi"/>
                <w:sz w:val="24"/>
                <w:szCs w:val="24"/>
              </w:rPr>
              <w:t>Middle</w:t>
            </w:r>
          </w:p>
        </w:tc>
        <w:tc>
          <w:tcPr>
            <w:tcW w:w="1618" w:type="dxa"/>
            <w:tcBorders>
              <w:top w:val="single" w:sz="4" w:space="0" w:color="auto"/>
              <w:left w:val="single" w:sz="4" w:space="0" w:color="auto"/>
              <w:bottom w:val="single" w:sz="4" w:space="0" w:color="auto"/>
              <w:right w:val="single" w:sz="4" w:space="0" w:color="auto"/>
            </w:tcBorders>
            <w:vAlign w:val="center"/>
          </w:tcPr>
          <w:p w14:paraId="307B29C0" w14:textId="77777777" w:rsidR="00E36D06" w:rsidRPr="007F5525" w:rsidRDefault="00E36D06" w:rsidP="00C953A7">
            <w:pPr>
              <w:jc w:val="center"/>
              <w:rPr>
                <w:rFonts w:cstheme="minorHAnsi"/>
                <w:sz w:val="24"/>
                <w:szCs w:val="24"/>
              </w:rPr>
            </w:pPr>
            <w:r>
              <w:rPr>
                <w:rFonts w:cstheme="minorHAnsi"/>
                <w:sz w:val="24"/>
                <w:szCs w:val="24"/>
              </w:rPr>
              <w:t>1.47</w:t>
            </w:r>
          </w:p>
        </w:tc>
        <w:tc>
          <w:tcPr>
            <w:tcW w:w="1618" w:type="dxa"/>
            <w:tcBorders>
              <w:top w:val="single" w:sz="4" w:space="0" w:color="auto"/>
              <w:left w:val="single" w:sz="4" w:space="0" w:color="auto"/>
              <w:bottom w:val="single" w:sz="4" w:space="0" w:color="auto"/>
              <w:right w:val="single" w:sz="4" w:space="0" w:color="auto"/>
            </w:tcBorders>
            <w:vAlign w:val="center"/>
          </w:tcPr>
          <w:p w14:paraId="7FFD7081" w14:textId="77777777" w:rsidR="00E36D06" w:rsidRPr="007F5525" w:rsidRDefault="00E36D06" w:rsidP="00C953A7">
            <w:pPr>
              <w:jc w:val="center"/>
              <w:rPr>
                <w:rFonts w:cstheme="minorHAnsi"/>
                <w:sz w:val="24"/>
                <w:szCs w:val="24"/>
              </w:rPr>
            </w:pPr>
            <w:r>
              <w:rPr>
                <w:rFonts w:cstheme="minorHAnsi"/>
                <w:sz w:val="24"/>
                <w:szCs w:val="24"/>
              </w:rPr>
              <w:t>[0.47-4.64]</w:t>
            </w:r>
          </w:p>
        </w:tc>
        <w:tc>
          <w:tcPr>
            <w:tcW w:w="1618" w:type="dxa"/>
            <w:tcBorders>
              <w:top w:val="single" w:sz="4" w:space="0" w:color="auto"/>
              <w:left w:val="single" w:sz="4" w:space="0" w:color="auto"/>
              <w:bottom w:val="single" w:sz="4" w:space="0" w:color="auto"/>
              <w:right w:val="single" w:sz="4" w:space="0" w:color="auto"/>
            </w:tcBorders>
          </w:tcPr>
          <w:p w14:paraId="38D20930" w14:textId="77777777" w:rsidR="00E36D06" w:rsidRPr="007F5525" w:rsidRDefault="00E36D06" w:rsidP="00C953A7">
            <w:pPr>
              <w:jc w:val="center"/>
              <w:rPr>
                <w:rFonts w:cstheme="minorHAnsi"/>
                <w:sz w:val="24"/>
                <w:szCs w:val="24"/>
              </w:rPr>
            </w:pPr>
            <w:r>
              <w:rPr>
                <w:rFonts w:cstheme="minorHAnsi"/>
                <w:sz w:val="24"/>
                <w:szCs w:val="24"/>
              </w:rPr>
              <w:t>0.50</w:t>
            </w:r>
          </w:p>
        </w:tc>
      </w:tr>
      <w:tr w:rsidR="00E36D06" w:rsidRPr="007F5525" w14:paraId="38042C9E"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4E4D93F3"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1131AC05" w14:textId="77777777" w:rsidR="00E36D06" w:rsidRPr="007F5525" w:rsidRDefault="00E36D06" w:rsidP="00C953A7">
            <w:pPr>
              <w:jc w:val="center"/>
              <w:rPr>
                <w:rFonts w:cstheme="minorHAnsi"/>
                <w:sz w:val="24"/>
                <w:szCs w:val="24"/>
              </w:rPr>
            </w:pPr>
            <w:r w:rsidRPr="007F5525">
              <w:rPr>
                <w:rFonts w:cstheme="minorHAnsi"/>
                <w:sz w:val="24"/>
                <w:szCs w:val="24"/>
              </w:rPr>
              <w:t>Richer</w:t>
            </w:r>
          </w:p>
        </w:tc>
        <w:tc>
          <w:tcPr>
            <w:tcW w:w="1618" w:type="dxa"/>
            <w:tcBorders>
              <w:top w:val="single" w:sz="4" w:space="0" w:color="auto"/>
              <w:left w:val="single" w:sz="4" w:space="0" w:color="auto"/>
              <w:bottom w:val="single" w:sz="4" w:space="0" w:color="auto"/>
              <w:right w:val="single" w:sz="4" w:space="0" w:color="auto"/>
            </w:tcBorders>
            <w:vAlign w:val="center"/>
          </w:tcPr>
          <w:p w14:paraId="39A0EE05" w14:textId="77777777" w:rsidR="00E36D06" w:rsidRPr="007F5525" w:rsidRDefault="00E36D06" w:rsidP="00C953A7">
            <w:pPr>
              <w:jc w:val="center"/>
              <w:rPr>
                <w:rFonts w:cstheme="minorHAnsi"/>
                <w:sz w:val="24"/>
                <w:szCs w:val="24"/>
              </w:rPr>
            </w:pPr>
            <w:r>
              <w:rPr>
                <w:rFonts w:cstheme="minorHAnsi"/>
                <w:sz w:val="24"/>
                <w:szCs w:val="24"/>
              </w:rPr>
              <w:t>1.33</w:t>
            </w:r>
          </w:p>
        </w:tc>
        <w:tc>
          <w:tcPr>
            <w:tcW w:w="1618" w:type="dxa"/>
            <w:tcBorders>
              <w:top w:val="single" w:sz="4" w:space="0" w:color="auto"/>
              <w:left w:val="single" w:sz="4" w:space="0" w:color="auto"/>
              <w:bottom w:val="single" w:sz="4" w:space="0" w:color="auto"/>
              <w:right w:val="single" w:sz="4" w:space="0" w:color="auto"/>
            </w:tcBorders>
            <w:vAlign w:val="center"/>
          </w:tcPr>
          <w:p w14:paraId="6DD8041D" w14:textId="77777777" w:rsidR="00E36D06" w:rsidRPr="007F5525" w:rsidRDefault="00E36D06" w:rsidP="00C953A7">
            <w:pPr>
              <w:jc w:val="center"/>
              <w:rPr>
                <w:rFonts w:cstheme="minorHAnsi"/>
                <w:sz w:val="24"/>
                <w:szCs w:val="24"/>
              </w:rPr>
            </w:pPr>
            <w:r>
              <w:rPr>
                <w:rFonts w:cstheme="minorHAnsi"/>
                <w:sz w:val="24"/>
                <w:szCs w:val="24"/>
              </w:rPr>
              <w:t>[0.46-3.90]</w:t>
            </w:r>
          </w:p>
        </w:tc>
        <w:tc>
          <w:tcPr>
            <w:tcW w:w="1618" w:type="dxa"/>
            <w:tcBorders>
              <w:top w:val="single" w:sz="4" w:space="0" w:color="auto"/>
              <w:left w:val="single" w:sz="4" w:space="0" w:color="auto"/>
              <w:bottom w:val="single" w:sz="4" w:space="0" w:color="auto"/>
              <w:right w:val="single" w:sz="4" w:space="0" w:color="auto"/>
            </w:tcBorders>
          </w:tcPr>
          <w:p w14:paraId="1322C59F" w14:textId="77777777" w:rsidR="00E36D06" w:rsidRPr="007F5525" w:rsidRDefault="00E36D06" w:rsidP="00C953A7">
            <w:pPr>
              <w:jc w:val="center"/>
              <w:rPr>
                <w:rFonts w:cstheme="minorHAnsi"/>
                <w:sz w:val="24"/>
                <w:szCs w:val="24"/>
              </w:rPr>
            </w:pPr>
            <w:r>
              <w:rPr>
                <w:rFonts w:cstheme="minorHAnsi"/>
                <w:sz w:val="24"/>
                <w:szCs w:val="24"/>
              </w:rPr>
              <w:t>0.60</w:t>
            </w:r>
          </w:p>
        </w:tc>
      </w:tr>
      <w:tr w:rsidR="00E36D06" w:rsidRPr="007F5525" w14:paraId="71AB0015" w14:textId="77777777" w:rsidTr="00C953A7">
        <w:tc>
          <w:tcPr>
            <w:tcW w:w="1870" w:type="dxa"/>
            <w:vMerge/>
            <w:tcBorders>
              <w:top w:val="single" w:sz="4" w:space="0" w:color="auto"/>
              <w:left w:val="single" w:sz="4" w:space="0" w:color="auto"/>
              <w:bottom w:val="single" w:sz="4" w:space="0" w:color="auto"/>
              <w:right w:val="single" w:sz="4" w:space="0" w:color="auto"/>
            </w:tcBorders>
            <w:vAlign w:val="center"/>
            <w:hideMark/>
          </w:tcPr>
          <w:p w14:paraId="13308AA9"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48442007" w14:textId="77777777" w:rsidR="00E36D06" w:rsidRPr="007F5525" w:rsidRDefault="00E36D06" w:rsidP="00C953A7">
            <w:pPr>
              <w:jc w:val="center"/>
              <w:rPr>
                <w:rFonts w:cstheme="minorHAnsi"/>
                <w:sz w:val="24"/>
                <w:szCs w:val="24"/>
              </w:rPr>
            </w:pPr>
            <w:r w:rsidRPr="007F5525">
              <w:rPr>
                <w:rFonts w:cstheme="minorHAnsi"/>
                <w:sz w:val="24"/>
                <w:szCs w:val="24"/>
              </w:rPr>
              <w:t>Richest</w:t>
            </w:r>
          </w:p>
        </w:tc>
        <w:tc>
          <w:tcPr>
            <w:tcW w:w="1618" w:type="dxa"/>
            <w:tcBorders>
              <w:top w:val="single" w:sz="4" w:space="0" w:color="auto"/>
              <w:left w:val="single" w:sz="4" w:space="0" w:color="auto"/>
              <w:bottom w:val="single" w:sz="4" w:space="0" w:color="auto"/>
              <w:right w:val="single" w:sz="4" w:space="0" w:color="auto"/>
            </w:tcBorders>
            <w:vAlign w:val="center"/>
          </w:tcPr>
          <w:p w14:paraId="788D93F1" w14:textId="77777777" w:rsidR="00E36D06" w:rsidRPr="007F5525" w:rsidRDefault="00E36D06" w:rsidP="00C953A7">
            <w:pPr>
              <w:jc w:val="center"/>
              <w:rPr>
                <w:rFonts w:cstheme="minorHAnsi"/>
                <w:sz w:val="24"/>
                <w:szCs w:val="24"/>
              </w:rPr>
            </w:pPr>
            <w:r>
              <w:rPr>
                <w:rFonts w:cstheme="minorHAnsi"/>
                <w:sz w:val="24"/>
                <w:szCs w:val="24"/>
              </w:rPr>
              <w:t>0.64</w:t>
            </w:r>
          </w:p>
        </w:tc>
        <w:tc>
          <w:tcPr>
            <w:tcW w:w="1618" w:type="dxa"/>
            <w:tcBorders>
              <w:top w:val="single" w:sz="4" w:space="0" w:color="auto"/>
              <w:left w:val="single" w:sz="4" w:space="0" w:color="auto"/>
              <w:bottom w:val="single" w:sz="4" w:space="0" w:color="auto"/>
              <w:right w:val="single" w:sz="4" w:space="0" w:color="auto"/>
            </w:tcBorders>
            <w:vAlign w:val="center"/>
          </w:tcPr>
          <w:p w14:paraId="6A7177DD" w14:textId="77777777" w:rsidR="00E36D06" w:rsidRPr="007F5525" w:rsidRDefault="00E36D06" w:rsidP="00C953A7">
            <w:pPr>
              <w:jc w:val="center"/>
              <w:rPr>
                <w:rFonts w:cstheme="minorHAnsi"/>
                <w:sz w:val="24"/>
                <w:szCs w:val="24"/>
              </w:rPr>
            </w:pPr>
            <w:r>
              <w:rPr>
                <w:rFonts w:cstheme="minorHAnsi"/>
                <w:sz w:val="24"/>
                <w:szCs w:val="24"/>
              </w:rPr>
              <w:t>[0.15-2.69]</w:t>
            </w:r>
          </w:p>
        </w:tc>
        <w:tc>
          <w:tcPr>
            <w:tcW w:w="1618" w:type="dxa"/>
            <w:tcBorders>
              <w:top w:val="single" w:sz="4" w:space="0" w:color="auto"/>
              <w:left w:val="single" w:sz="4" w:space="0" w:color="auto"/>
              <w:bottom w:val="single" w:sz="4" w:space="0" w:color="auto"/>
              <w:right w:val="single" w:sz="4" w:space="0" w:color="auto"/>
            </w:tcBorders>
          </w:tcPr>
          <w:p w14:paraId="1E10481B" w14:textId="77777777" w:rsidR="00E36D06" w:rsidRPr="007F5525" w:rsidRDefault="00E36D06" w:rsidP="00C953A7">
            <w:pPr>
              <w:jc w:val="center"/>
              <w:rPr>
                <w:rFonts w:cstheme="minorHAnsi"/>
                <w:sz w:val="24"/>
                <w:szCs w:val="24"/>
              </w:rPr>
            </w:pPr>
            <w:r>
              <w:rPr>
                <w:rFonts w:cstheme="minorHAnsi"/>
                <w:sz w:val="24"/>
                <w:szCs w:val="24"/>
              </w:rPr>
              <w:t>0.54</w:t>
            </w:r>
          </w:p>
        </w:tc>
      </w:tr>
      <w:tr w:rsidR="00E36D06" w:rsidRPr="007F5525" w14:paraId="20D138DF" w14:textId="77777777" w:rsidTr="00C953A7">
        <w:trPr>
          <w:trHeight w:val="347"/>
        </w:trPr>
        <w:tc>
          <w:tcPr>
            <w:tcW w:w="1870" w:type="dxa"/>
            <w:vMerge w:val="restart"/>
            <w:tcBorders>
              <w:top w:val="single" w:sz="4" w:space="0" w:color="auto"/>
              <w:left w:val="single" w:sz="4" w:space="0" w:color="auto"/>
              <w:bottom w:val="single" w:sz="4" w:space="0" w:color="auto"/>
              <w:right w:val="single" w:sz="4" w:space="0" w:color="auto"/>
            </w:tcBorders>
            <w:vAlign w:val="center"/>
            <w:hideMark/>
          </w:tcPr>
          <w:p w14:paraId="482F2262" w14:textId="77777777" w:rsidR="00E36D06" w:rsidRPr="007F5525" w:rsidRDefault="00E36D06" w:rsidP="00C953A7">
            <w:pPr>
              <w:jc w:val="center"/>
              <w:rPr>
                <w:rFonts w:cstheme="minorHAnsi"/>
                <w:sz w:val="24"/>
                <w:szCs w:val="24"/>
              </w:rPr>
            </w:pPr>
            <w:r w:rsidRPr="007F5525">
              <w:rPr>
                <w:rFonts w:cstheme="minorHAnsi"/>
                <w:sz w:val="24"/>
                <w:szCs w:val="24"/>
              </w:rPr>
              <w:t>Delivery by caesarean section</w:t>
            </w:r>
          </w:p>
        </w:tc>
        <w:tc>
          <w:tcPr>
            <w:tcW w:w="2625" w:type="dxa"/>
            <w:tcBorders>
              <w:top w:val="single" w:sz="4" w:space="0" w:color="auto"/>
              <w:left w:val="single" w:sz="4" w:space="0" w:color="auto"/>
              <w:bottom w:val="single" w:sz="4" w:space="0" w:color="auto"/>
              <w:right w:val="single" w:sz="4" w:space="0" w:color="auto"/>
            </w:tcBorders>
            <w:vAlign w:val="center"/>
            <w:hideMark/>
          </w:tcPr>
          <w:p w14:paraId="5346F413" w14:textId="77777777" w:rsidR="00E36D06" w:rsidRPr="007F5525" w:rsidRDefault="00E36D06" w:rsidP="00C953A7">
            <w:pPr>
              <w:jc w:val="center"/>
              <w:rPr>
                <w:rFonts w:cstheme="minorHAnsi"/>
                <w:sz w:val="24"/>
                <w:szCs w:val="24"/>
              </w:rPr>
            </w:pPr>
            <w:r w:rsidRPr="007F5525">
              <w:rPr>
                <w:rFonts w:cstheme="minorHAnsi"/>
                <w:sz w:val="24"/>
                <w:szCs w:val="24"/>
              </w:rPr>
              <w:t>No</w:t>
            </w:r>
          </w:p>
        </w:tc>
        <w:tc>
          <w:tcPr>
            <w:tcW w:w="1618" w:type="dxa"/>
            <w:tcBorders>
              <w:top w:val="single" w:sz="4" w:space="0" w:color="auto"/>
              <w:left w:val="single" w:sz="4" w:space="0" w:color="auto"/>
              <w:bottom w:val="single" w:sz="4" w:space="0" w:color="auto"/>
              <w:right w:val="single" w:sz="4" w:space="0" w:color="auto"/>
            </w:tcBorders>
            <w:vAlign w:val="center"/>
          </w:tcPr>
          <w:p w14:paraId="640E5B03"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15C66154"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769081D1"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r>
      <w:tr w:rsidR="00E36D06" w:rsidRPr="007F5525" w14:paraId="67A04974" w14:textId="77777777" w:rsidTr="00C953A7">
        <w:trPr>
          <w:trHeight w:val="437"/>
        </w:trPr>
        <w:tc>
          <w:tcPr>
            <w:tcW w:w="1870" w:type="dxa"/>
            <w:vMerge/>
            <w:tcBorders>
              <w:top w:val="single" w:sz="4" w:space="0" w:color="auto"/>
              <w:left w:val="single" w:sz="4" w:space="0" w:color="auto"/>
              <w:bottom w:val="single" w:sz="4" w:space="0" w:color="auto"/>
              <w:right w:val="single" w:sz="4" w:space="0" w:color="auto"/>
            </w:tcBorders>
            <w:vAlign w:val="center"/>
            <w:hideMark/>
          </w:tcPr>
          <w:p w14:paraId="157F85ED"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hideMark/>
          </w:tcPr>
          <w:p w14:paraId="58419071" w14:textId="77777777" w:rsidR="00E36D06" w:rsidRPr="007F5525" w:rsidRDefault="00E36D06" w:rsidP="00C953A7">
            <w:pPr>
              <w:jc w:val="center"/>
              <w:rPr>
                <w:rFonts w:cstheme="minorHAnsi"/>
                <w:sz w:val="24"/>
                <w:szCs w:val="24"/>
              </w:rPr>
            </w:pPr>
            <w:r w:rsidRPr="007F5525">
              <w:rPr>
                <w:rFonts w:cstheme="minorHAnsi"/>
                <w:sz w:val="24"/>
                <w:szCs w:val="24"/>
              </w:rPr>
              <w:t>Yes</w:t>
            </w:r>
          </w:p>
        </w:tc>
        <w:tc>
          <w:tcPr>
            <w:tcW w:w="1618" w:type="dxa"/>
            <w:tcBorders>
              <w:top w:val="single" w:sz="4" w:space="0" w:color="auto"/>
              <w:left w:val="single" w:sz="4" w:space="0" w:color="auto"/>
              <w:bottom w:val="single" w:sz="4" w:space="0" w:color="auto"/>
              <w:right w:val="single" w:sz="4" w:space="0" w:color="auto"/>
            </w:tcBorders>
            <w:vAlign w:val="center"/>
          </w:tcPr>
          <w:p w14:paraId="664F137E" w14:textId="77777777" w:rsidR="00E36D06" w:rsidRPr="007F5525" w:rsidRDefault="00E36D06" w:rsidP="00C953A7">
            <w:pPr>
              <w:jc w:val="center"/>
              <w:rPr>
                <w:rFonts w:cstheme="minorHAnsi"/>
                <w:sz w:val="24"/>
                <w:szCs w:val="24"/>
              </w:rPr>
            </w:pPr>
            <w:r>
              <w:rPr>
                <w:rFonts w:cstheme="minorHAnsi"/>
                <w:sz w:val="24"/>
                <w:szCs w:val="24"/>
              </w:rPr>
              <w:t>0.50</w:t>
            </w:r>
          </w:p>
        </w:tc>
        <w:tc>
          <w:tcPr>
            <w:tcW w:w="1618" w:type="dxa"/>
            <w:tcBorders>
              <w:top w:val="single" w:sz="4" w:space="0" w:color="auto"/>
              <w:left w:val="single" w:sz="4" w:space="0" w:color="auto"/>
              <w:bottom w:val="single" w:sz="4" w:space="0" w:color="auto"/>
              <w:right w:val="single" w:sz="4" w:space="0" w:color="auto"/>
            </w:tcBorders>
            <w:vAlign w:val="center"/>
          </w:tcPr>
          <w:p w14:paraId="02ABBDD1" w14:textId="77777777" w:rsidR="00E36D06" w:rsidRPr="007F5525" w:rsidRDefault="00E36D06" w:rsidP="00C953A7">
            <w:pPr>
              <w:jc w:val="center"/>
              <w:rPr>
                <w:rFonts w:cstheme="minorHAnsi"/>
                <w:sz w:val="24"/>
                <w:szCs w:val="24"/>
              </w:rPr>
            </w:pPr>
            <w:r>
              <w:rPr>
                <w:rFonts w:cstheme="minorHAnsi"/>
                <w:sz w:val="24"/>
                <w:szCs w:val="24"/>
              </w:rPr>
              <w:t>[0.18-1.40]</w:t>
            </w:r>
          </w:p>
        </w:tc>
        <w:tc>
          <w:tcPr>
            <w:tcW w:w="1618" w:type="dxa"/>
            <w:tcBorders>
              <w:top w:val="single" w:sz="4" w:space="0" w:color="auto"/>
              <w:left w:val="single" w:sz="4" w:space="0" w:color="auto"/>
              <w:bottom w:val="single" w:sz="4" w:space="0" w:color="auto"/>
              <w:right w:val="single" w:sz="4" w:space="0" w:color="auto"/>
            </w:tcBorders>
          </w:tcPr>
          <w:p w14:paraId="119DA3C4" w14:textId="77777777" w:rsidR="00E36D06" w:rsidRPr="007F5525" w:rsidRDefault="00E36D06" w:rsidP="00C953A7">
            <w:pPr>
              <w:jc w:val="center"/>
              <w:rPr>
                <w:rFonts w:cstheme="minorHAnsi"/>
                <w:sz w:val="24"/>
                <w:szCs w:val="24"/>
              </w:rPr>
            </w:pPr>
            <w:r>
              <w:rPr>
                <w:rFonts w:cstheme="minorHAnsi"/>
                <w:sz w:val="24"/>
                <w:szCs w:val="24"/>
              </w:rPr>
              <w:t>0.19</w:t>
            </w:r>
          </w:p>
        </w:tc>
      </w:tr>
      <w:tr w:rsidR="00E36D06" w:rsidRPr="007F5525" w14:paraId="57219633" w14:textId="77777777" w:rsidTr="00C953A7">
        <w:tc>
          <w:tcPr>
            <w:tcW w:w="1870" w:type="dxa"/>
            <w:vMerge w:val="restart"/>
            <w:tcBorders>
              <w:left w:val="single" w:sz="4" w:space="0" w:color="auto"/>
              <w:right w:val="single" w:sz="4" w:space="0" w:color="auto"/>
            </w:tcBorders>
            <w:vAlign w:val="center"/>
          </w:tcPr>
          <w:p w14:paraId="0B2EE147" w14:textId="77777777" w:rsidR="00E36D06" w:rsidRPr="007F5525" w:rsidRDefault="00E36D06" w:rsidP="00C953A7">
            <w:pPr>
              <w:jc w:val="center"/>
              <w:rPr>
                <w:rFonts w:cstheme="minorHAnsi"/>
                <w:sz w:val="24"/>
                <w:szCs w:val="24"/>
              </w:rPr>
            </w:pPr>
            <w:r w:rsidRPr="007F5525">
              <w:rPr>
                <w:rFonts w:cstheme="minorHAnsi"/>
                <w:sz w:val="24"/>
                <w:szCs w:val="24"/>
              </w:rPr>
              <w:t>Had Fever in the last two week</w:t>
            </w:r>
          </w:p>
        </w:tc>
        <w:tc>
          <w:tcPr>
            <w:tcW w:w="2625" w:type="dxa"/>
            <w:tcBorders>
              <w:top w:val="single" w:sz="4" w:space="0" w:color="auto"/>
              <w:left w:val="single" w:sz="4" w:space="0" w:color="auto"/>
              <w:bottom w:val="single" w:sz="4" w:space="0" w:color="auto"/>
              <w:right w:val="single" w:sz="4" w:space="0" w:color="auto"/>
            </w:tcBorders>
            <w:vAlign w:val="center"/>
          </w:tcPr>
          <w:p w14:paraId="2085171E" w14:textId="77777777" w:rsidR="00E36D06" w:rsidRPr="007F5525" w:rsidRDefault="00E36D06" w:rsidP="00C953A7">
            <w:pPr>
              <w:jc w:val="center"/>
              <w:rPr>
                <w:rFonts w:cstheme="minorHAnsi"/>
                <w:sz w:val="24"/>
                <w:szCs w:val="24"/>
              </w:rPr>
            </w:pPr>
            <w:r w:rsidRPr="007F5525">
              <w:rPr>
                <w:rFonts w:cstheme="minorHAnsi"/>
                <w:sz w:val="24"/>
                <w:szCs w:val="24"/>
              </w:rPr>
              <w:t>No</w:t>
            </w:r>
          </w:p>
        </w:tc>
        <w:tc>
          <w:tcPr>
            <w:tcW w:w="1618" w:type="dxa"/>
            <w:tcBorders>
              <w:top w:val="single" w:sz="4" w:space="0" w:color="auto"/>
              <w:left w:val="single" w:sz="4" w:space="0" w:color="auto"/>
              <w:bottom w:val="single" w:sz="4" w:space="0" w:color="auto"/>
              <w:right w:val="single" w:sz="4" w:space="0" w:color="auto"/>
            </w:tcBorders>
            <w:vAlign w:val="center"/>
          </w:tcPr>
          <w:p w14:paraId="2CD4A7D3"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75371FE4"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c>
          <w:tcPr>
            <w:tcW w:w="1618" w:type="dxa"/>
            <w:tcBorders>
              <w:top w:val="single" w:sz="4" w:space="0" w:color="auto"/>
              <w:left w:val="single" w:sz="4" w:space="0" w:color="auto"/>
              <w:bottom w:val="single" w:sz="4" w:space="0" w:color="auto"/>
              <w:right w:val="single" w:sz="4" w:space="0" w:color="auto"/>
            </w:tcBorders>
            <w:vAlign w:val="center"/>
          </w:tcPr>
          <w:p w14:paraId="5ECF70A7" w14:textId="77777777" w:rsidR="00E36D06" w:rsidRPr="007F5525" w:rsidRDefault="00E36D06" w:rsidP="00C953A7">
            <w:pPr>
              <w:jc w:val="center"/>
              <w:rPr>
                <w:rFonts w:cstheme="minorHAnsi"/>
                <w:sz w:val="24"/>
                <w:szCs w:val="24"/>
              </w:rPr>
            </w:pPr>
            <w:r w:rsidRPr="007F5525">
              <w:rPr>
                <w:rFonts w:cstheme="minorHAnsi"/>
                <w:b/>
                <w:bCs/>
                <w:sz w:val="24"/>
                <w:szCs w:val="24"/>
              </w:rPr>
              <w:t>Ref</w:t>
            </w:r>
          </w:p>
        </w:tc>
      </w:tr>
      <w:tr w:rsidR="00E36D06" w:rsidRPr="007F5525" w14:paraId="2939B08D" w14:textId="77777777" w:rsidTr="00C953A7">
        <w:tc>
          <w:tcPr>
            <w:tcW w:w="1870" w:type="dxa"/>
            <w:vMerge/>
            <w:tcBorders>
              <w:left w:val="single" w:sz="4" w:space="0" w:color="auto"/>
              <w:right w:val="single" w:sz="4" w:space="0" w:color="auto"/>
            </w:tcBorders>
            <w:vAlign w:val="center"/>
          </w:tcPr>
          <w:p w14:paraId="3E8C1312" w14:textId="77777777" w:rsidR="00E36D06" w:rsidRPr="007F5525" w:rsidRDefault="00E36D06" w:rsidP="00C953A7">
            <w:pPr>
              <w:jc w:val="center"/>
              <w:rPr>
                <w:rFonts w:cstheme="minorHAnsi"/>
                <w:sz w:val="24"/>
                <w:szCs w:val="24"/>
              </w:rPr>
            </w:pPr>
          </w:p>
        </w:tc>
        <w:tc>
          <w:tcPr>
            <w:tcW w:w="2625" w:type="dxa"/>
            <w:tcBorders>
              <w:top w:val="single" w:sz="4" w:space="0" w:color="auto"/>
              <w:left w:val="single" w:sz="4" w:space="0" w:color="auto"/>
              <w:bottom w:val="single" w:sz="4" w:space="0" w:color="auto"/>
              <w:right w:val="single" w:sz="4" w:space="0" w:color="auto"/>
            </w:tcBorders>
            <w:vAlign w:val="center"/>
          </w:tcPr>
          <w:p w14:paraId="1EC46CA3" w14:textId="77777777" w:rsidR="00E36D06" w:rsidRPr="007F5525" w:rsidRDefault="00E36D06" w:rsidP="00C953A7">
            <w:pPr>
              <w:jc w:val="center"/>
              <w:rPr>
                <w:rFonts w:cstheme="minorHAnsi"/>
                <w:sz w:val="24"/>
                <w:szCs w:val="24"/>
              </w:rPr>
            </w:pPr>
            <w:r w:rsidRPr="007F5525">
              <w:rPr>
                <w:rFonts w:cstheme="minorHAnsi"/>
                <w:sz w:val="24"/>
                <w:szCs w:val="24"/>
              </w:rPr>
              <w:t>Yes</w:t>
            </w:r>
          </w:p>
        </w:tc>
        <w:tc>
          <w:tcPr>
            <w:tcW w:w="1618" w:type="dxa"/>
            <w:tcBorders>
              <w:top w:val="single" w:sz="4" w:space="0" w:color="auto"/>
              <w:left w:val="single" w:sz="4" w:space="0" w:color="auto"/>
              <w:bottom w:val="single" w:sz="4" w:space="0" w:color="auto"/>
              <w:right w:val="single" w:sz="4" w:space="0" w:color="auto"/>
            </w:tcBorders>
            <w:vAlign w:val="center"/>
          </w:tcPr>
          <w:p w14:paraId="70886D8C" w14:textId="77777777" w:rsidR="00E36D06" w:rsidRPr="007F5525" w:rsidRDefault="00E36D06" w:rsidP="00C953A7">
            <w:pPr>
              <w:jc w:val="center"/>
              <w:rPr>
                <w:rFonts w:cstheme="minorHAnsi"/>
                <w:sz w:val="24"/>
                <w:szCs w:val="24"/>
              </w:rPr>
            </w:pPr>
            <w:r>
              <w:rPr>
                <w:rFonts w:cstheme="minorHAnsi"/>
                <w:sz w:val="24"/>
                <w:szCs w:val="24"/>
              </w:rPr>
              <w:t>1.41</w:t>
            </w:r>
          </w:p>
        </w:tc>
        <w:tc>
          <w:tcPr>
            <w:tcW w:w="1618" w:type="dxa"/>
            <w:tcBorders>
              <w:top w:val="single" w:sz="4" w:space="0" w:color="auto"/>
              <w:left w:val="single" w:sz="4" w:space="0" w:color="auto"/>
              <w:bottom w:val="single" w:sz="4" w:space="0" w:color="auto"/>
              <w:right w:val="single" w:sz="4" w:space="0" w:color="auto"/>
            </w:tcBorders>
            <w:vAlign w:val="center"/>
          </w:tcPr>
          <w:p w14:paraId="3CDF86E0" w14:textId="77777777" w:rsidR="00E36D06" w:rsidRPr="007F5525" w:rsidRDefault="00E36D06" w:rsidP="00C953A7">
            <w:pPr>
              <w:jc w:val="center"/>
              <w:rPr>
                <w:rFonts w:cstheme="minorHAnsi"/>
                <w:sz w:val="24"/>
                <w:szCs w:val="24"/>
              </w:rPr>
            </w:pPr>
            <w:r>
              <w:rPr>
                <w:rFonts w:cstheme="minorHAnsi"/>
                <w:sz w:val="24"/>
                <w:szCs w:val="24"/>
              </w:rPr>
              <w:t>[0.70-2.83]</w:t>
            </w:r>
          </w:p>
        </w:tc>
        <w:tc>
          <w:tcPr>
            <w:tcW w:w="1618" w:type="dxa"/>
            <w:tcBorders>
              <w:top w:val="single" w:sz="4" w:space="0" w:color="auto"/>
              <w:left w:val="single" w:sz="4" w:space="0" w:color="auto"/>
              <w:bottom w:val="single" w:sz="4" w:space="0" w:color="auto"/>
              <w:right w:val="single" w:sz="4" w:space="0" w:color="auto"/>
            </w:tcBorders>
          </w:tcPr>
          <w:p w14:paraId="66461252" w14:textId="77777777" w:rsidR="00E36D06" w:rsidRPr="007F5525" w:rsidRDefault="00E36D06" w:rsidP="00C953A7">
            <w:pPr>
              <w:jc w:val="center"/>
              <w:rPr>
                <w:rFonts w:cstheme="minorHAnsi"/>
                <w:sz w:val="24"/>
                <w:szCs w:val="24"/>
              </w:rPr>
            </w:pPr>
            <w:r>
              <w:rPr>
                <w:rFonts w:cstheme="minorHAnsi"/>
                <w:sz w:val="24"/>
                <w:szCs w:val="24"/>
              </w:rPr>
              <w:t>0.33</w:t>
            </w:r>
          </w:p>
        </w:tc>
      </w:tr>
    </w:tbl>
    <w:p w14:paraId="60D67EDC" w14:textId="77777777" w:rsidR="00E36D06" w:rsidRDefault="00E36D06" w:rsidP="006C0D46">
      <w:pPr>
        <w:spacing w:line="360" w:lineRule="auto"/>
        <w:jc w:val="both"/>
        <w:rPr>
          <w:rFonts w:cstheme="minorHAnsi"/>
          <w:sz w:val="24"/>
          <w:szCs w:val="24"/>
        </w:rPr>
      </w:pPr>
    </w:p>
    <w:p w14:paraId="7B43CF7E" w14:textId="77777777" w:rsidR="009405B6" w:rsidRPr="00D6781E" w:rsidRDefault="009405B6" w:rsidP="006C0D46">
      <w:pPr>
        <w:spacing w:line="360" w:lineRule="auto"/>
        <w:jc w:val="both"/>
        <w:rPr>
          <w:rFonts w:cstheme="minorHAnsi"/>
          <w:sz w:val="24"/>
          <w:szCs w:val="24"/>
        </w:rPr>
      </w:pPr>
    </w:p>
    <w:p w14:paraId="5B7AAB0F" w14:textId="77777777" w:rsidR="008373A9" w:rsidRDefault="008373A9" w:rsidP="00503285">
      <w:pPr>
        <w:spacing w:line="360" w:lineRule="auto"/>
        <w:jc w:val="both"/>
        <w:rPr>
          <w:rFonts w:cstheme="minorHAnsi"/>
          <w:b/>
          <w:bCs/>
          <w:sz w:val="24"/>
          <w:szCs w:val="24"/>
        </w:rPr>
      </w:pPr>
    </w:p>
    <w:p w14:paraId="3D569934" w14:textId="61783448" w:rsidR="00D6781E" w:rsidRPr="00D6781E" w:rsidRDefault="00D6781E" w:rsidP="00503285">
      <w:pPr>
        <w:spacing w:line="360" w:lineRule="auto"/>
        <w:jc w:val="both"/>
        <w:rPr>
          <w:rFonts w:cstheme="minorHAnsi"/>
          <w:b/>
          <w:bCs/>
          <w:sz w:val="24"/>
          <w:szCs w:val="24"/>
        </w:rPr>
      </w:pPr>
      <w:r w:rsidRPr="00D6781E">
        <w:rPr>
          <w:rFonts w:cstheme="minorHAnsi"/>
          <w:b/>
          <w:bCs/>
          <w:sz w:val="24"/>
          <w:szCs w:val="24"/>
        </w:rPr>
        <w:t>Discussion</w:t>
      </w:r>
    </w:p>
    <w:p w14:paraId="660A3F28" w14:textId="0C0156CA" w:rsidR="00702402" w:rsidRPr="00702402" w:rsidRDefault="00702402" w:rsidP="00702402">
      <w:pPr>
        <w:spacing w:line="360" w:lineRule="auto"/>
        <w:jc w:val="both"/>
        <w:rPr>
          <w:rFonts w:cstheme="minorHAnsi"/>
          <w:sz w:val="24"/>
          <w:szCs w:val="24"/>
        </w:rPr>
      </w:pPr>
      <w:r w:rsidRPr="00702402">
        <w:rPr>
          <w:rFonts w:cstheme="minorHAnsi"/>
          <w:sz w:val="24"/>
          <w:szCs w:val="24"/>
        </w:rPr>
        <w:lastRenderedPageBreak/>
        <w:t>The findings of this study shed light on the complex interplay between socio-economic factors and child malnutrition in the context of women's exposure to Intimate Partner Violence (IPV) and the nutritional status of their children, using data from the Bangladesh 2017 Demographic and Health Survey.</w:t>
      </w:r>
    </w:p>
    <w:p w14:paraId="6E49C965" w14:textId="64003AA8" w:rsidR="00702402" w:rsidRPr="00702402" w:rsidRDefault="00702402" w:rsidP="00702402">
      <w:pPr>
        <w:spacing w:line="360" w:lineRule="auto"/>
        <w:jc w:val="both"/>
        <w:rPr>
          <w:rFonts w:cstheme="minorHAnsi"/>
          <w:sz w:val="24"/>
          <w:szCs w:val="24"/>
        </w:rPr>
      </w:pPr>
      <w:r w:rsidRPr="00702402">
        <w:rPr>
          <w:rFonts w:cstheme="minorHAnsi"/>
          <w:sz w:val="24"/>
          <w:szCs w:val="24"/>
        </w:rPr>
        <w:t>Child malnutrition rates</w:t>
      </w:r>
      <w:r w:rsidR="008624F0" w:rsidRPr="008624F0">
        <w:rPr>
          <w:rFonts w:cstheme="minorHAnsi"/>
          <w:sz w:val="24"/>
          <w:szCs w:val="24"/>
        </w:rPr>
        <w:t xml:space="preserve"> </w:t>
      </w:r>
      <w:r w:rsidR="008624F0" w:rsidRPr="00702402">
        <w:rPr>
          <w:rFonts w:cstheme="minorHAnsi"/>
          <w:sz w:val="24"/>
          <w:szCs w:val="24"/>
        </w:rPr>
        <w:t>in the context of women's exposure to</w:t>
      </w:r>
      <w:r w:rsidR="008624F0">
        <w:rPr>
          <w:rFonts w:cstheme="minorHAnsi"/>
          <w:sz w:val="24"/>
          <w:szCs w:val="24"/>
        </w:rPr>
        <w:t xml:space="preserve"> IPV</w:t>
      </w:r>
      <w:r w:rsidRPr="00702402">
        <w:rPr>
          <w:rFonts w:cstheme="minorHAnsi"/>
          <w:sz w:val="24"/>
          <w:szCs w:val="24"/>
        </w:rPr>
        <w:t xml:space="preserve"> exhibited a notable distinction across different age groups, with a significantly higher prevalence observed among two-year-old children compared to their one-year-old counterparts. This underscores the importance of considering age as a critical factor in understanding and addressing malnutrition. The observed decrease in malnutrition rates in older age groups could be attributed to factors such as changes in dietary patterns, increased immunity, and improved feeding practices over time.</w:t>
      </w:r>
      <w:r w:rsidR="001C19E8" w:rsidRPr="001C19E8">
        <w:rPr>
          <w:rFonts w:cstheme="minorHAnsi"/>
          <w:sz w:val="24"/>
          <w:szCs w:val="24"/>
        </w:rPr>
        <w:t xml:space="preserve"> Our observation of age-related differences in malnutrition rates among children is consistent with previous research</w:t>
      </w:r>
      <w:r w:rsidR="001C19E8">
        <w:rPr>
          <w:rFonts w:cstheme="minorHAnsi"/>
          <w:sz w:val="24"/>
          <w:szCs w:val="24"/>
        </w:rPr>
        <w:t xml:space="preserve"> </w:t>
      </w:r>
      <w:r w:rsidR="001C19E8" w:rsidRPr="001C19E8">
        <w:rPr>
          <w:rFonts w:cstheme="minorHAnsi"/>
          <w:sz w:val="24"/>
          <w:szCs w:val="24"/>
          <w:vertAlign w:val="superscript"/>
        </w:rPr>
        <w:t>29</w:t>
      </w:r>
      <w:r w:rsidR="001C19E8">
        <w:rPr>
          <w:rFonts w:cstheme="minorHAnsi"/>
          <w:sz w:val="24"/>
          <w:szCs w:val="24"/>
          <w:vertAlign w:val="superscript"/>
        </w:rPr>
        <w:t>,30</w:t>
      </w:r>
      <w:r w:rsidR="001C19E8">
        <w:rPr>
          <w:rFonts w:cstheme="minorHAnsi"/>
          <w:sz w:val="24"/>
          <w:szCs w:val="24"/>
        </w:rPr>
        <w:t>.</w:t>
      </w:r>
      <w:r w:rsidR="001C19E8" w:rsidRPr="001C19E8">
        <w:rPr>
          <w:rFonts w:cstheme="minorHAnsi"/>
          <w:sz w:val="24"/>
          <w:szCs w:val="24"/>
        </w:rPr>
        <w:t xml:space="preserve"> The higher prevalence of malnutrition among two-year-olds emphasizes the vulnerability of this age group, possibly due to transitioning to complementary foods and increased exposure to external influences. This finding underscores the need for targeted nutritional interventions during this critical developmental stage.</w:t>
      </w:r>
    </w:p>
    <w:p w14:paraId="27350BA1" w14:textId="0A4DA5BC" w:rsidR="00702402" w:rsidRPr="00702402" w:rsidRDefault="00702402" w:rsidP="00702402">
      <w:pPr>
        <w:spacing w:line="360" w:lineRule="auto"/>
        <w:jc w:val="both"/>
        <w:rPr>
          <w:rFonts w:cstheme="minorHAnsi"/>
          <w:sz w:val="24"/>
          <w:szCs w:val="24"/>
        </w:rPr>
      </w:pPr>
      <w:r w:rsidRPr="00702402">
        <w:rPr>
          <w:rFonts w:cstheme="minorHAnsi"/>
          <w:sz w:val="24"/>
          <w:szCs w:val="24"/>
        </w:rPr>
        <w:t>Interestingly, the study found minimal variation in malnutrition rates based on the child's sex, urban or rural residence, and the number of children under 5 in the household. These results suggest that, in the studied population, these factors may not play a significant role in determining the nutritional status of children. However, caution should be exercised in generalizing these findings to other populations, as socio-economic dynamics can vary across regions.</w:t>
      </w:r>
      <w:r w:rsidR="00E83ED9" w:rsidRPr="00E83ED9">
        <w:rPr>
          <w:rFonts w:cstheme="minorHAnsi"/>
          <w:sz w:val="24"/>
          <w:szCs w:val="24"/>
        </w:rPr>
        <w:t xml:space="preserve"> </w:t>
      </w:r>
      <w:r w:rsidR="00E83ED9" w:rsidRPr="001C19E8">
        <w:rPr>
          <w:rFonts w:cstheme="minorHAnsi"/>
          <w:sz w:val="24"/>
          <w:szCs w:val="24"/>
        </w:rPr>
        <w:t>Contrary to some earlier studie</w:t>
      </w:r>
      <w:r w:rsidR="00E83ED9">
        <w:rPr>
          <w:rFonts w:cstheme="minorHAnsi"/>
          <w:sz w:val="24"/>
          <w:szCs w:val="24"/>
        </w:rPr>
        <w:t xml:space="preserve">s </w:t>
      </w:r>
      <w:r w:rsidR="00E83ED9" w:rsidRPr="00E83ED9">
        <w:rPr>
          <w:rFonts w:cstheme="minorHAnsi"/>
          <w:sz w:val="24"/>
          <w:szCs w:val="24"/>
          <w:vertAlign w:val="superscript"/>
        </w:rPr>
        <w:t>31,32</w:t>
      </w:r>
      <w:r w:rsidR="00E83ED9">
        <w:rPr>
          <w:rFonts w:cstheme="minorHAnsi"/>
          <w:sz w:val="24"/>
          <w:szCs w:val="24"/>
        </w:rPr>
        <w:t xml:space="preserve"> </w:t>
      </w:r>
      <w:r w:rsidR="00E83ED9" w:rsidRPr="001C19E8">
        <w:rPr>
          <w:rFonts w:cstheme="minorHAnsi"/>
          <w:sz w:val="24"/>
          <w:szCs w:val="24"/>
        </w:rPr>
        <w:t>our results did not reveal significant differences in malnutrition rates based on the child's sex, urban or rural residence, and the number of children in the household. These discrepancies may be attributed to contextual variations and highlight the importance of considering local factors in interpreting findings. Nevertheless, our study contributes to the growing body of evidence on the heterogeneity of malnutrition determinants across populations.</w:t>
      </w:r>
    </w:p>
    <w:p w14:paraId="16013C72" w14:textId="7DC40BA6" w:rsidR="00465E1B" w:rsidRPr="001C19E8" w:rsidRDefault="00702402" w:rsidP="00465E1B">
      <w:pPr>
        <w:spacing w:line="360" w:lineRule="auto"/>
        <w:jc w:val="both"/>
        <w:rPr>
          <w:rFonts w:cstheme="minorHAnsi"/>
          <w:sz w:val="24"/>
          <w:szCs w:val="24"/>
        </w:rPr>
      </w:pPr>
      <w:r w:rsidRPr="00702402">
        <w:rPr>
          <w:rFonts w:cstheme="minorHAnsi"/>
          <w:sz w:val="24"/>
          <w:szCs w:val="24"/>
        </w:rPr>
        <w:t xml:space="preserve">Education emerged as a key determinant of child malnutrition, with women with no formal education exhibiting a significantly higher malnutrition rate compared to those with higher </w:t>
      </w:r>
      <w:r w:rsidR="00E83ED9" w:rsidRPr="00702402">
        <w:rPr>
          <w:rFonts w:cstheme="minorHAnsi"/>
          <w:sz w:val="24"/>
          <w:szCs w:val="24"/>
        </w:rPr>
        <w:lastRenderedPageBreak/>
        <w:t>education.</w:t>
      </w:r>
      <w:r w:rsidRPr="00702402">
        <w:rPr>
          <w:rFonts w:cstheme="minorHAnsi"/>
          <w:sz w:val="24"/>
          <w:szCs w:val="24"/>
        </w:rPr>
        <w:t xml:space="preserve"> This underscores the critical role of maternal education in shaping child health outcomes. Higher levels of education are often associated with better health knowledge, access to healthcare, and improved child-rearing practices.</w:t>
      </w:r>
      <w:r w:rsidR="00465E1B" w:rsidRPr="00465E1B">
        <w:rPr>
          <w:rFonts w:cstheme="minorHAnsi"/>
          <w:sz w:val="24"/>
          <w:szCs w:val="24"/>
        </w:rPr>
        <w:t xml:space="preserve"> </w:t>
      </w:r>
      <w:r w:rsidR="00465E1B" w:rsidRPr="001C19E8">
        <w:rPr>
          <w:rFonts w:cstheme="minorHAnsi"/>
          <w:sz w:val="24"/>
          <w:szCs w:val="24"/>
        </w:rPr>
        <w:t>The significant impact of maternal education on child malnutrition aligns with extensive literature documenting the protective effect of maternal education on child health outcomes</w:t>
      </w:r>
      <w:r w:rsidR="00465E1B">
        <w:rPr>
          <w:rFonts w:cstheme="minorHAnsi"/>
          <w:sz w:val="24"/>
          <w:szCs w:val="24"/>
        </w:rPr>
        <w:t xml:space="preserve"> </w:t>
      </w:r>
      <w:r w:rsidR="00465E1B" w:rsidRPr="00465E1B">
        <w:rPr>
          <w:rFonts w:cstheme="minorHAnsi"/>
          <w:sz w:val="24"/>
          <w:szCs w:val="24"/>
          <w:vertAlign w:val="superscript"/>
        </w:rPr>
        <w:t>33,34</w:t>
      </w:r>
      <w:r w:rsidR="00465E1B">
        <w:rPr>
          <w:rFonts w:cstheme="minorHAnsi"/>
          <w:sz w:val="24"/>
          <w:szCs w:val="24"/>
        </w:rPr>
        <w:t xml:space="preserve">. </w:t>
      </w:r>
      <w:r w:rsidR="00465E1B" w:rsidRPr="001C19E8">
        <w:rPr>
          <w:rFonts w:cstheme="minorHAnsi"/>
          <w:sz w:val="24"/>
          <w:szCs w:val="24"/>
        </w:rPr>
        <w:t>Our findings emphasize the pivotal role of education in influencing maternal practices related to childcare, feeding, and health-seeking behaviors.</w:t>
      </w:r>
    </w:p>
    <w:p w14:paraId="78EAAA97" w14:textId="39C83EF7" w:rsidR="0029265A" w:rsidRPr="001C19E8" w:rsidRDefault="00702402" w:rsidP="0029265A">
      <w:pPr>
        <w:spacing w:line="360" w:lineRule="auto"/>
        <w:jc w:val="both"/>
        <w:rPr>
          <w:rFonts w:cstheme="minorHAnsi"/>
          <w:sz w:val="24"/>
          <w:szCs w:val="24"/>
        </w:rPr>
      </w:pPr>
      <w:r w:rsidRPr="00702402">
        <w:rPr>
          <w:rFonts w:cstheme="minorHAnsi"/>
          <w:sz w:val="24"/>
          <w:szCs w:val="24"/>
        </w:rPr>
        <w:t>Contrary to expectations, the occupation types of both respondents and their partners did not show substantial disparities in malnutrition rates. This suggests that, in this context, the occupational status of parents may not be a primary determinant of child malnutrition. Further investigation into specific occupational factors and their potential impact on child nutrition could provide deeper insights.</w:t>
      </w:r>
      <w:r w:rsidR="0029265A" w:rsidRPr="0029265A">
        <w:rPr>
          <w:rFonts w:cstheme="minorHAnsi"/>
          <w:sz w:val="24"/>
          <w:szCs w:val="24"/>
        </w:rPr>
        <w:t xml:space="preserve"> </w:t>
      </w:r>
      <w:r w:rsidR="0029265A" w:rsidRPr="001C19E8">
        <w:rPr>
          <w:rFonts w:cstheme="minorHAnsi"/>
          <w:sz w:val="24"/>
          <w:szCs w:val="24"/>
        </w:rPr>
        <w:t>In contrast to our results, some prior studies suggested significant associations between parental occupation and child malnutrition</w:t>
      </w:r>
      <w:r w:rsidR="0045448A">
        <w:rPr>
          <w:rFonts w:cstheme="minorHAnsi"/>
          <w:sz w:val="24"/>
          <w:szCs w:val="24"/>
        </w:rPr>
        <w:t xml:space="preserve"> </w:t>
      </w:r>
      <w:r w:rsidR="0045448A">
        <w:rPr>
          <w:rFonts w:cstheme="minorHAnsi"/>
          <w:sz w:val="24"/>
          <w:szCs w:val="24"/>
          <w:vertAlign w:val="superscript"/>
        </w:rPr>
        <w:t>34,35</w:t>
      </w:r>
      <w:r w:rsidR="0029265A">
        <w:rPr>
          <w:rFonts w:cstheme="minorHAnsi"/>
          <w:sz w:val="24"/>
          <w:szCs w:val="24"/>
        </w:rPr>
        <w:t>.</w:t>
      </w:r>
      <w:r w:rsidR="0029265A" w:rsidRPr="001C19E8">
        <w:rPr>
          <w:rFonts w:cstheme="minorHAnsi"/>
          <w:sz w:val="24"/>
          <w:szCs w:val="24"/>
        </w:rPr>
        <w:t xml:space="preserve"> The lack of substantial disparities in malnutrition rates based on occupation in our study may be specific to the studied population and warrants further exploration into occupational factors that could influence child nutrition.</w:t>
      </w:r>
    </w:p>
    <w:p w14:paraId="6BFAE52B" w14:textId="77777777" w:rsidR="00702402" w:rsidRPr="00702402" w:rsidRDefault="00702402" w:rsidP="00702402">
      <w:pPr>
        <w:spacing w:line="360" w:lineRule="auto"/>
        <w:jc w:val="both"/>
        <w:rPr>
          <w:rFonts w:cstheme="minorHAnsi"/>
          <w:sz w:val="24"/>
          <w:szCs w:val="24"/>
        </w:rPr>
      </w:pPr>
    </w:p>
    <w:p w14:paraId="31A6EF43" w14:textId="622B6156" w:rsidR="00702402" w:rsidRPr="00702402" w:rsidRDefault="00702402" w:rsidP="00702402">
      <w:pPr>
        <w:spacing w:line="360" w:lineRule="auto"/>
        <w:jc w:val="both"/>
        <w:rPr>
          <w:rFonts w:cstheme="minorHAnsi"/>
          <w:sz w:val="24"/>
          <w:szCs w:val="24"/>
        </w:rPr>
      </w:pPr>
      <w:r w:rsidRPr="00702402">
        <w:rPr>
          <w:rFonts w:cstheme="minorHAnsi"/>
          <w:sz w:val="24"/>
          <w:szCs w:val="24"/>
        </w:rPr>
        <w:t>The wealth index demonstrated a significant association with child malnutrition, reaffirming the well-established link between socio-economic status and health outcomes. The poorest wealth quintile exhibited a substantially higher malnutrition rate compared to the richest group</w:t>
      </w:r>
      <w:r w:rsidR="00B80C6F">
        <w:rPr>
          <w:rFonts w:cstheme="minorHAnsi"/>
          <w:sz w:val="24"/>
          <w:szCs w:val="24"/>
        </w:rPr>
        <w:t>.</w:t>
      </w:r>
      <w:r w:rsidR="00716538">
        <w:rPr>
          <w:rFonts w:cstheme="minorHAnsi"/>
          <w:sz w:val="24"/>
          <w:szCs w:val="24"/>
        </w:rPr>
        <w:t xml:space="preserve"> </w:t>
      </w:r>
      <w:r w:rsidRPr="00702402">
        <w:rPr>
          <w:rFonts w:cstheme="minorHAnsi"/>
          <w:sz w:val="24"/>
          <w:szCs w:val="24"/>
        </w:rPr>
        <w:t>This emphasizes the need for targeted interventions addressing economic disparities to improve child nutrition.</w:t>
      </w:r>
      <w:r w:rsidR="00716538" w:rsidRPr="00716538">
        <w:rPr>
          <w:rFonts w:cstheme="minorHAnsi"/>
          <w:sz w:val="24"/>
          <w:szCs w:val="24"/>
        </w:rPr>
        <w:t xml:space="preserve"> </w:t>
      </w:r>
      <w:r w:rsidR="00716538" w:rsidRPr="001C19E8">
        <w:rPr>
          <w:rFonts w:cstheme="minorHAnsi"/>
          <w:sz w:val="24"/>
          <w:szCs w:val="24"/>
        </w:rPr>
        <w:t>The identified association between wealth status and child malnutrition corroborates well-established links between socio-economic status and child health</w:t>
      </w:r>
      <w:r w:rsidR="00716538">
        <w:rPr>
          <w:rFonts w:cstheme="minorHAnsi"/>
          <w:sz w:val="24"/>
          <w:szCs w:val="24"/>
        </w:rPr>
        <w:t xml:space="preserve">. </w:t>
      </w:r>
      <w:r w:rsidR="00716538" w:rsidRPr="001C19E8">
        <w:rPr>
          <w:rFonts w:cstheme="minorHAnsi"/>
          <w:sz w:val="24"/>
          <w:szCs w:val="24"/>
        </w:rPr>
        <w:t>The higher malnutrition rates among the poorest wealth quintile underscore the urgency of addressing economic disparities to improve child nutrition outcomes, in line with global efforts</w:t>
      </w:r>
      <w:r w:rsidR="00716538">
        <w:rPr>
          <w:rFonts w:cstheme="minorHAnsi"/>
          <w:sz w:val="24"/>
          <w:szCs w:val="24"/>
        </w:rPr>
        <w:t xml:space="preserve"> </w:t>
      </w:r>
      <w:r w:rsidR="00716538">
        <w:rPr>
          <w:rFonts w:cstheme="minorHAnsi"/>
          <w:sz w:val="24"/>
          <w:szCs w:val="24"/>
          <w:vertAlign w:val="superscript"/>
        </w:rPr>
        <w:t>37,38</w:t>
      </w:r>
      <w:r w:rsidR="00716538">
        <w:rPr>
          <w:rFonts w:cstheme="minorHAnsi"/>
          <w:sz w:val="24"/>
          <w:szCs w:val="24"/>
        </w:rPr>
        <w:t>.</w:t>
      </w:r>
    </w:p>
    <w:p w14:paraId="0B4714F8" w14:textId="52B6725E" w:rsidR="00B80C6F" w:rsidRDefault="00702402" w:rsidP="00B80C6F">
      <w:pPr>
        <w:spacing w:line="360" w:lineRule="auto"/>
        <w:jc w:val="both"/>
        <w:rPr>
          <w:rFonts w:cstheme="minorHAnsi"/>
          <w:sz w:val="24"/>
          <w:szCs w:val="24"/>
        </w:rPr>
      </w:pPr>
      <w:r w:rsidRPr="00702402">
        <w:rPr>
          <w:rFonts w:cstheme="minorHAnsi"/>
          <w:sz w:val="24"/>
          <w:szCs w:val="24"/>
        </w:rPr>
        <w:t>The mode of delivery (caesarean section) and recent fever emerged as significant factors in the univariate analysis but lost significance in the final multiple logistic regression model. This could indicate that the influence of these factors on child malnutrition may be mediated by other socio-</w:t>
      </w:r>
      <w:r w:rsidRPr="00702402">
        <w:rPr>
          <w:rFonts w:cstheme="minorHAnsi"/>
          <w:sz w:val="24"/>
          <w:szCs w:val="24"/>
        </w:rPr>
        <w:lastRenderedPageBreak/>
        <w:t>economic variables considered in the model.</w:t>
      </w:r>
      <w:r w:rsidR="00B80C6F" w:rsidRPr="00B80C6F">
        <w:rPr>
          <w:rFonts w:cstheme="minorHAnsi"/>
          <w:sz w:val="24"/>
          <w:szCs w:val="24"/>
        </w:rPr>
        <w:t xml:space="preserve"> </w:t>
      </w:r>
      <w:r w:rsidR="00B80C6F" w:rsidRPr="001C19E8">
        <w:rPr>
          <w:rFonts w:cstheme="minorHAnsi"/>
          <w:sz w:val="24"/>
          <w:szCs w:val="24"/>
        </w:rPr>
        <w:t>While the mode of delivery and recent fever exhibited significance in univariate analysis, their influence diminished in the final multiple logistic regression model. This finding aligns with the complex interplay of health determinants and highlights the need for comprehensive models that consider multiple factors simultaneously</w:t>
      </w:r>
      <w:r w:rsidR="00B80C6F">
        <w:rPr>
          <w:rFonts w:cstheme="minorHAnsi"/>
          <w:sz w:val="24"/>
          <w:szCs w:val="24"/>
        </w:rPr>
        <w:t xml:space="preserve"> </w:t>
      </w:r>
      <w:r w:rsidR="00B80C6F" w:rsidRPr="00B80C6F">
        <w:rPr>
          <w:rFonts w:cstheme="minorHAnsi"/>
          <w:sz w:val="24"/>
          <w:szCs w:val="24"/>
          <w:vertAlign w:val="superscript"/>
        </w:rPr>
        <w:t>36</w:t>
      </w:r>
      <w:r w:rsidR="00B80C6F">
        <w:rPr>
          <w:rFonts w:cstheme="minorHAnsi"/>
          <w:sz w:val="24"/>
          <w:szCs w:val="24"/>
        </w:rPr>
        <w:t>.</w:t>
      </w:r>
    </w:p>
    <w:p w14:paraId="5B48DFA1" w14:textId="77777777" w:rsidR="00D131FB" w:rsidRPr="00D131FB" w:rsidRDefault="00D131FB" w:rsidP="00D131FB">
      <w:pPr>
        <w:spacing w:line="360" w:lineRule="auto"/>
        <w:jc w:val="both"/>
        <w:rPr>
          <w:rFonts w:cstheme="minorHAnsi"/>
          <w:sz w:val="24"/>
          <w:szCs w:val="24"/>
        </w:rPr>
      </w:pPr>
    </w:p>
    <w:p w14:paraId="15B803B3" w14:textId="77777777"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t>Recommendations:</w:t>
      </w:r>
    </w:p>
    <w:p w14:paraId="55416F7A" w14:textId="550668D8"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t>Targeted Educational Interventions:</w:t>
      </w:r>
      <w:r>
        <w:rPr>
          <w:rFonts w:cstheme="minorHAnsi"/>
          <w:b/>
          <w:bCs/>
          <w:sz w:val="24"/>
          <w:szCs w:val="24"/>
        </w:rPr>
        <w:t xml:space="preserve"> </w:t>
      </w:r>
      <w:r w:rsidRPr="00D131FB">
        <w:rPr>
          <w:rFonts w:cstheme="minorHAnsi"/>
          <w:sz w:val="24"/>
          <w:szCs w:val="24"/>
        </w:rPr>
        <w:t>Given the significant impact of maternal education on child malnutrition, targeted educational interventions for women with lower levels of education can be instrumental. These programs should focus on enhancing health knowledge, promoting healthy childcare practices, and increasing awareness of proper nutrition.</w:t>
      </w:r>
    </w:p>
    <w:p w14:paraId="216D3C78" w14:textId="496E5CCA"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t>Economic Empowerment Initiatives:</w:t>
      </w:r>
      <w:r>
        <w:rPr>
          <w:rFonts w:cstheme="minorHAnsi"/>
          <w:b/>
          <w:bCs/>
          <w:sz w:val="24"/>
          <w:szCs w:val="24"/>
        </w:rPr>
        <w:t xml:space="preserve"> </w:t>
      </w:r>
      <w:r w:rsidRPr="00D131FB">
        <w:rPr>
          <w:rFonts w:cstheme="minorHAnsi"/>
          <w:sz w:val="24"/>
          <w:szCs w:val="24"/>
        </w:rPr>
        <w:t>Recognizing the association between wealth status and child malnutrition, targeted economic empowerment initiatives should be implemented, particularly in economically disadvantaged communities. These initiatives can include vocational training, income-generating activities, and social support programs to uplift families in the lowest wealth quintile.</w:t>
      </w:r>
    </w:p>
    <w:p w14:paraId="4D5C0E15" w14:textId="24B56959"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t>Occupational Factors Exploration:</w:t>
      </w:r>
      <w:r>
        <w:rPr>
          <w:rFonts w:cstheme="minorHAnsi"/>
          <w:b/>
          <w:bCs/>
          <w:sz w:val="24"/>
          <w:szCs w:val="24"/>
        </w:rPr>
        <w:t xml:space="preserve"> </w:t>
      </w:r>
      <w:r w:rsidRPr="00D131FB">
        <w:rPr>
          <w:rFonts w:cstheme="minorHAnsi"/>
          <w:sz w:val="24"/>
          <w:szCs w:val="24"/>
        </w:rPr>
        <w:t>Further investigation into specific occupational factors is warranted, as the study did not find substantial disparities in malnutrition rates based on the occupation of parents. Understanding the nuances of how certain occupations may influence child nutrition can guide the development of tailored interventions or policies that address occupation-specific challenges.</w:t>
      </w:r>
    </w:p>
    <w:p w14:paraId="6CA528CC" w14:textId="46990B62"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t>Integrated Health Programs:</w:t>
      </w:r>
      <w:r>
        <w:rPr>
          <w:rFonts w:cstheme="minorHAnsi"/>
          <w:b/>
          <w:bCs/>
          <w:sz w:val="24"/>
          <w:szCs w:val="24"/>
        </w:rPr>
        <w:t xml:space="preserve"> </w:t>
      </w:r>
      <w:r w:rsidRPr="00D131FB">
        <w:rPr>
          <w:rFonts w:cstheme="minorHAnsi"/>
          <w:sz w:val="24"/>
          <w:szCs w:val="24"/>
        </w:rPr>
        <w:t>The diminishing influence of mode of delivery and recent fever in the final regression model suggests a complex interplay of health determinants. Implementing integrated health programs that address multiple factors simultaneously, including maternal health, access to healthcare, and environmental factors, could contribute to comprehensive approaches in reducing child malnutrition.</w:t>
      </w:r>
    </w:p>
    <w:p w14:paraId="171B0855" w14:textId="1902F740"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t>Strengths</w:t>
      </w:r>
    </w:p>
    <w:p w14:paraId="3CEE7864" w14:textId="28B7C001"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lastRenderedPageBreak/>
        <w:t>Holistic Approach:</w:t>
      </w:r>
      <w:r>
        <w:rPr>
          <w:rFonts w:cstheme="minorHAnsi"/>
          <w:b/>
          <w:bCs/>
          <w:sz w:val="24"/>
          <w:szCs w:val="24"/>
        </w:rPr>
        <w:t xml:space="preserve"> </w:t>
      </w:r>
      <w:r w:rsidRPr="00D131FB">
        <w:rPr>
          <w:rFonts w:cstheme="minorHAnsi"/>
          <w:sz w:val="24"/>
          <w:szCs w:val="24"/>
        </w:rPr>
        <w:t>The study adopts a holistic approach by considering the nexus between domestic violence against women and child malnutrition, providing a comprehensive understanding of the socio-economic factors influencing child nutrition.</w:t>
      </w:r>
    </w:p>
    <w:p w14:paraId="01CCB455" w14:textId="39F6890D"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t>Use of Demographic and Health Survey Data:</w:t>
      </w:r>
      <w:r>
        <w:rPr>
          <w:rFonts w:cstheme="minorHAnsi"/>
          <w:b/>
          <w:bCs/>
          <w:sz w:val="24"/>
          <w:szCs w:val="24"/>
        </w:rPr>
        <w:t xml:space="preserve"> </w:t>
      </w:r>
      <w:r w:rsidRPr="00D131FB">
        <w:rPr>
          <w:rFonts w:cstheme="minorHAnsi"/>
          <w:sz w:val="24"/>
          <w:szCs w:val="24"/>
        </w:rPr>
        <w:t>Utilizing data from the Bangladesh 2017 Demographic and Health Survey adds robustness to the study's findings. Large-scale survey data provides a representative snapshot of the population, enhancing the generalizability of the results.</w:t>
      </w:r>
    </w:p>
    <w:p w14:paraId="085934B9" w14:textId="2C81BE38"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t>Identification of Critical Determinants:</w:t>
      </w:r>
      <w:r>
        <w:rPr>
          <w:rFonts w:cstheme="minorHAnsi"/>
          <w:b/>
          <w:bCs/>
          <w:sz w:val="24"/>
          <w:szCs w:val="24"/>
        </w:rPr>
        <w:t xml:space="preserve"> </w:t>
      </w:r>
      <w:r w:rsidRPr="00D131FB">
        <w:rPr>
          <w:rFonts w:cstheme="minorHAnsi"/>
          <w:sz w:val="24"/>
          <w:szCs w:val="24"/>
        </w:rPr>
        <w:t>The study identifies critical determinants of child malnutrition, including age, maternal education, wealth status, and the importance of considering local variations. These findings offer valuable insights for policymakers and practitioners.</w:t>
      </w:r>
    </w:p>
    <w:p w14:paraId="6148485D" w14:textId="1FB1D36A" w:rsidR="00D131FB" w:rsidRPr="00D131FB" w:rsidRDefault="00D131FB" w:rsidP="00D131FB">
      <w:pPr>
        <w:spacing w:line="360" w:lineRule="auto"/>
        <w:jc w:val="both"/>
        <w:rPr>
          <w:rFonts w:cstheme="minorHAnsi"/>
          <w:b/>
          <w:bCs/>
          <w:sz w:val="24"/>
          <w:szCs w:val="24"/>
        </w:rPr>
      </w:pPr>
      <w:r w:rsidRPr="00D131FB">
        <w:rPr>
          <w:rFonts w:cstheme="minorHAnsi"/>
          <w:b/>
          <w:bCs/>
          <w:sz w:val="24"/>
          <w:szCs w:val="24"/>
        </w:rPr>
        <w:t>Conclusion</w:t>
      </w:r>
    </w:p>
    <w:p w14:paraId="752369F9" w14:textId="02D6527F" w:rsidR="00D131FB" w:rsidRPr="00B80C6F" w:rsidRDefault="00D131FB" w:rsidP="00D131FB">
      <w:pPr>
        <w:spacing w:line="360" w:lineRule="auto"/>
        <w:jc w:val="both"/>
        <w:rPr>
          <w:rFonts w:cstheme="minorHAnsi"/>
          <w:sz w:val="24"/>
          <w:szCs w:val="24"/>
        </w:rPr>
      </w:pPr>
      <w:r w:rsidRPr="00D131FB">
        <w:rPr>
          <w:rFonts w:cstheme="minorHAnsi"/>
          <w:sz w:val="24"/>
          <w:szCs w:val="24"/>
        </w:rPr>
        <w:t>This study illuminates the intricate relationship between domestic violence against women, socio-economic factors, and child malnutrition in Bangladesh. Age-related differences highlight the vulnerability of two-year-olds, emphasizing the need for targeted interventions during this critical developmental stage. While the study reveals the expected associations with maternal education and wealth status, it also challenges assumptions regarding the role of parental occupation.</w:t>
      </w:r>
      <w:r>
        <w:rPr>
          <w:rFonts w:cstheme="minorHAnsi"/>
          <w:sz w:val="24"/>
          <w:szCs w:val="24"/>
        </w:rPr>
        <w:t xml:space="preserve"> </w:t>
      </w:r>
      <w:r w:rsidRPr="00D131FB">
        <w:rPr>
          <w:rFonts w:cstheme="minorHAnsi"/>
          <w:sz w:val="24"/>
          <w:szCs w:val="24"/>
        </w:rPr>
        <w:t>The recommendations underscore the importance of educational and economic empowerment initiatives tailored to the specific needs of vulnerable populations. Additionally, the call for further exploration into occupational factors acknowledges the need for nuanced approaches in understanding and addressing the determinants of child malnutrition.</w:t>
      </w:r>
      <w:r>
        <w:rPr>
          <w:rFonts w:cstheme="minorHAnsi"/>
          <w:sz w:val="24"/>
          <w:szCs w:val="24"/>
        </w:rPr>
        <w:t xml:space="preserve"> </w:t>
      </w:r>
      <w:r w:rsidRPr="00D131FB">
        <w:rPr>
          <w:rFonts w:cstheme="minorHAnsi"/>
          <w:sz w:val="24"/>
          <w:szCs w:val="24"/>
        </w:rPr>
        <w:t>In conclusion, this study contributes valuable insights that can inform evidence-based interventions to reduce child malnutrition. By recognizing the complexity of socio-economic factors and their interplay with domestic violence, policymakers and practitioners can develop targeted strategies that address the unique challenges faced by different segments of the population, ultimately contributing to improved child health outcomes in Bangladesh.</w:t>
      </w:r>
    </w:p>
    <w:p w14:paraId="12E647A8" w14:textId="77777777" w:rsidR="001C19E8" w:rsidRPr="001C19E8" w:rsidRDefault="001C19E8" w:rsidP="001C19E8">
      <w:pPr>
        <w:spacing w:line="360" w:lineRule="auto"/>
        <w:jc w:val="both"/>
        <w:rPr>
          <w:rFonts w:cstheme="minorHAnsi"/>
          <w:sz w:val="24"/>
          <w:szCs w:val="24"/>
        </w:rPr>
      </w:pPr>
    </w:p>
    <w:p w14:paraId="6A975821" w14:textId="6AB3442F" w:rsidR="003A137B" w:rsidRPr="00D6781E" w:rsidRDefault="003A137B" w:rsidP="003A137B">
      <w:pPr>
        <w:spacing w:line="360" w:lineRule="auto"/>
        <w:jc w:val="both"/>
        <w:rPr>
          <w:rFonts w:cstheme="minorHAnsi"/>
          <w:b/>
          <w:bCs/>
          <w:sz w:val="24"/>
          <w:szCs w:val="24"/>
        </w:rPr>
      </w:pPr>
      <w:r w:rsidRPr="00D6781E">
        <w:rPr>
          <w:rFonts w:cstheme="minorHAnsi"/>
          <w:b/>
          <w:bCs/>
          <w:sz w:val="24"/>
          <w:szCs w:val="24"/>
        </w:rPr>
        <w:lastRenderedPageBreak/>
        <w:t>References:</w:t>
      </w:r>
    </w:p>
    <w:p w14:paraId="457A6989" w14:textId="30A6FAE1" w:rsidR="003A137B" w:rsidRPr="00D6781E" w:rsidRDefault="003A137B"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Garcia-Moreno, C., Jansen, H. A., Ellsberg, M., Heise, L., &amp; Watts, C. H. (2006). Prevalence of intimate partner violence: findings from the WHO multi-country study on women's health and domestic violence. </w:t>
      </w:r>
      <w:r w:rsidRPr="00D6781E">
        <w:rPr>
          <w:rFonts w:cstheme="minorHAnsi"/>
          <w:i/>
          <w:iCs/>
          <w:color w:val="222222"/>
          <w:sz w:val="24"/>
          <w:szCs w:val="24"/>
          <w:shd w:val="clear" w:color="auto" w:fill="FFFFFF"/>
        </w:rPr>
        <w:t>The lancet</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368</w:t>
      </w:r>
      <w:r w:rsidRPr="00D6781E">
        <w:rPr>
          <w:rFonts w:cstheme="minorHAnsi"/>
          <w:color w:val="222222"/>
          <w:sz w:val="24"/>
          <w:szCs w:val="24"/>
          <w:shd w:val="clear" w:color="auto" w:fill="FFFFFF"/>
        </w:rPr>
        <w:t>(9543), 1260-1269.</w:t>
      </w:r>
    </w:p>
    <w:p w14:paraId="58CD045D" w14:textId="582B7F48" w:rsidR="00233AAB" w:rsidRPr="00D6781E" w:rsidRDefault="00233AAB"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Flury, M., &amp; Nyberg, E. (2010). Domestic violence against women: definitions, epidemiology, risk factors and consequences. </w:t>
      </w:r>
      <w:r w:rsidRPr="00D6781E">
        <w:rPr>
          <w:rFonts w:cstheme="minorHAnsi"/>
          <w:i/>
          <w:iCs/>
          <w:color w:val="222222"/>
          <w:sz w:val="24"/>
          <w:szCs w:val="24"/>
          <w:shd w:val="clear" w:color="auto" w:fill="FFFFFF"/>
        </w:rPr>
        <w:t>Swiss medical weekly</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140</w:t>
      </w:r>
      <w:r w:rsidRPr="00D6781E">
        <w:rPr>
          <w:rFonts w:cstheme="minorHAnsi"/>
          <w:color w:val="222222"/>
          <w:sz w:val="24"/>
          <w:szCs w:val="24"/>
          <w:shd w:val="clear" w:color="auto" w:fill="FFFFFF"/>
        </w:rPr>
        <w:t>(3536), w13099-w13099.</w:t>
      </w:r>
    </w:p>
    <w:p w14:paraId="365DC6CC" w14:textId="152B0123" w:rsidR="00233AAB" w:rsidRPr="00D6781E" w:rsidRDefault="002F1562" w:rsidP="003A137B">
      <w:pPr>
        <w:pStyle w:val="ListParagraph"/>
        <w:numPr>
          <w:ilvl w:val="0"/>
          <w:numId w:val="1"/>
        </w:numPr>
        <w:spacing w:line="360" w:lineRule="auto"/>
        <w:jc w:val="both"/>
        <w:rPr>
          <w:rFonts w:cstheme="minorHAnsi"/>
          <w:sz w:val="24"/>
          <w:szCs w:val="24"/>
        </w:rPr>
      </w:pPr>
      <w:r w:rsidRPr="00D6781E">
        <w:rPr>
          <w:rFonts w:cstheme="minorHAnsi"/>
          <w:sz w:val="24"/>
          <w:szCs w:val="24"/>
        </w:rPr>
        <w:t>United Nations Children's Fund (UNICEF) (2000) Domestic violence against women and girls. United Nations Children's Fund: Florence, Italy.</w:t>
      </w:r>
    </w:p>
    <w:p w14:paraId="52A7E5ED" w14:textId="13B3FB37" w:rsidR="00001A3E" w:rsidRPr="00D6781E" w:rsidRDefault="00001A3E"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Garcia-Moreno, C., Jansen, H. A., Ellsberg, M., Heise, L., &amp; Watts, C. H. (2006). Prevalence of intimate partner violence: findings from the WHO multi-country study on women's health and domestic violence. </w:t>
      </w:r>
      <w:r w:rsidRPr="00D6781E">
        <w:rPr>
          <w:rFonts w:cstheme="minorHAnsi"/>
          <w:i/>
          <w:iCs/>
          <w:color w:val="222222"/>
          <w:sz w:val="24"/>
          <w:szCs w:val="24"/>
          <w:shd w:val="clear" w:color="auto" w:fill="FFFFFF"/>
        </w:rPr>
        <w:t>The lancet</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368</w:t>
      </w:r>
      <w:r w:rsidRPr="00D6781E">
        <w:rPr>
          <w:rFonts w:cstheme="minorHAnsi"/>
          <w:color w:val="222222"/>
          <w:sz w:val="24"/>
          <w:szCs w:val="24"/>
          <w:shd w:val="clear" w:color="auto" w:fill="FFFFFF"/>
        </w:rPr>
        <w:t>(9543), 1260-1269.</w:t>
      </w:r>
    </w:p>
    <w:p w14:paraId="2F57D8CE" w14:textId="330192DB" w:rsidR="00AA4CC8" w:rsidRPr="00D6781E" w:rsidRDefault="00257F73"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Krug, E. G., Mercy, J. A., Dahlberg, L. L., &amp; Zwi, A. B. (2002). The world report on violence and health. </w:t>
      </w:r>
      <w:r w:rsidRPr="00D6781E">
        <w:rPr>
          <w:rFonts w:cstheme="minorHAnsi"/>
          <w:i/>
          <w:iCs/>
          <w:color w:val="222222"/>
          <w:sz w:val="24"/>
          <w:szCs w:val="24"/>
          <w:shd w:val="clear" w:color="auto" w:fill="FFFFFF"/>
        </w:rPr>
        <w:t>The lancet</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360</w:t>
      </w:r>
      <w:r w:rsidRPr="00D6781E">
        <w:rPr>
          <w:rFonts w:cstheme="minorHAnsi"/>
          <w:color w:val="222222"/>
          <w:sz w:val="24"/>
          <w:szCs w:val="24"/>
          <w:shd w:val="clear" w:color="auto" w:fill="FFFFFF"/>
        </w:rPr>
        <w:t>(9339), 1083-1088.</w:t>
      </w:r>
    </w:p>
    <w:p w14:paraId="16500878" w14:textId="5D3C26AF" w:rsidR="00C01513" w:rsidRPr="00D6781E" w:rsidRDefault="00C01513"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Ellsberg, M., Heise, L., Pena, R., Agurto, S., &amp; Winkvist, A. (2001). Researching domestic violence against women: methodological and ethical considerations. </w:t>
      </w:r>
      <w:r w:rsidRPr="00D6781E">
        <w:rPr>
          <w:rFonts w:cstheme="minorHAnsi"/>
          <w:i/>
          <w:iCs/>
          <w:color w:val="222222"/>
          <w:sz w:val="24"/>
          <w:szCs w:val="24"/>
          <w:shd w:val="clear" w:color="auto" w:fill="FFFFFF"/>
        </w:rPr>
        <w:t>Studies in family planning</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32</w:t>
      </w:r>
      <w:r w:rsidRPr="00D6781E">
        <w:rPr>
          <w:rFonts w:cstheme="minorHAnsi"/>
          <w:color w:val="222222"/>
          <w:sz w:val="24"/>
          <w:szCs w:val="24"/>
          <w:shd w:val="clear" w:color="auto" w:fill="FFFFFF"/>
        </w:rPr>
        <w:t>(1), 1-16.</w:t>
      </w:r>
    </w:p>
    <w:p w14:paraId="6C6A69B9" w14:textId="452D54A5" w:rsidR="00C01513" w:rsidRPr="00D6781E" w:rsidRDefault="00C01513"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Devries, K., Watts, C., Yoshihama, M., Kiss, L., Schraiber, L. B., Deyessa, N., ... &amp; WHO Multi-Country Study Team. (2011). Violence against women is strongly associated with suicide attempts: evidence from the WHO multi-country study on women’s health and domestic violence against women. </w:t>
      </w:r>
      <w:r w:rsidRPr="00D6781E">
        <w:rPr>
          <w:rFonts w:cstheme="minorHAnsi"/>
          <w:i/>
          <w:iCs/>
          <w:color w:val="222222"/>
          <w:sz w:val="24"/>
          <w:szCs w:val="24"/>
          <w:shd w:val="clear" w:color="auto" w:fill="FFFFFF"/>
        </w:rPr>
        <w:t>Social science &amp; medicine</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73</w:t>
      </w:r>
      <w:r w:rsidRPr="00D6781E">
        <w:rPr>
          <w:rFonts w:cstheme="minorHAnsi"/>
          <w:color w:val="222222"/>
          <w:sz w:val="24"/>
          <w:szCs w:val="24"/>
          <w:shd w:val="clear" w:color="auto" w:fill="FFFFFF"/>
        </w:rPr>
        <w:t>(1), 79-86.</w:t>
      </w:r>
    </w:p>
    <w:p w14:paraId="089D4C7E" w14:textId="03DDF55D" w:rsidR="00C01513" w:rsidRPr="00D6781E" w:rsidRDefault="00C01513"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Coker, A. L., Smith, P. H., Bethea, L., King, M. R., &amp; McKeown, R. E. (2000). Physical health consequences of physical and psychological intimate partner violence. </w:t>
      </w:r>
      <w:r w:rsidRPr="00D6781E">
        <w:rPr>
          <w:rFonts w:cstheme="minorHAnsi"/>
          <w:i/>
          <w:iCs/>
          <w:color w:val="222222"/>
          <w:sz w:val="24"/>
          <w:szCs w:val="24"/>
          <w:shd w:val="clear" w:color="auto" w:fill="FFFFFF"/>
        </w:rPr>
        <w:t>Archives of family medicine</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9</w:t>
      </w:r>
      <w:r w:rsidRPr="00D6781E">
        <w:rPr>
          <w:rFonts w:cstheme="minorHAnsi"/>
          <w:color w:val="222222"/>
          <w:sz w:val="24"/>
          <w:szCs w:val="24"/>
          <w:shd w:val="clear" w:color="auto" w:fill="FFFFFF"/>
        </w:rPr>
        <w:t>(5), 451.</w:t>
      </w:r>
    </w:p>
    <w:p w14:paraId="1AB1EFEB" w14:textId="7865614C" w:rsidR="00C01513" w:rsidRPr="00D6781E" w:rsidRDefault="00C01513"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Bonomi, A. E., Thompson, R. S., Anderson, M., Reid, R. J., Carrell, D., Dimer, J. A., &amp; Rivara, F. P. (2006). Intimate partner violence and women’s physical, mental, and social functioning. </w:t>
      </w:r>
      <w:r w:rsidRPr="00D6781E">
        <w:rPr>
          <w:rFonts w:cstheme="minorHAnsi"/>
          <w:i/>
          <w:iCs/>
          <w:color w:val="222222"/>
          <w:sz w:val="24"/>
          <w:szCs w:val="24"/>
          <w:shd w:val="clear" w:color="auto" w:fill="FFFFFF"/>
        </w:rPr>
        <w:t>American journal of preventive medicine</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30</w:t>
      </w:r>
      <w:r w:rsidRPr="00D6781E">
        <w:rPr>
          <w:rFonts w:cstheme="minorHAnsi"/>
          <w:color w:val="222222"/>
          <w:sz w:val="24"/>
          <w:szCs w:val="24"/>
          <w:shd w:val="clear" w:color="auto" w:fill="FFFFFF"/>
        </w:rPr>
        <w:t>(6), 458-466.</w:t>
      </w:r>
    </w:p>
    <w:p w14:paraId="7D23389E" w14:textId="7148034A" w:rsidR="00C01513" w:rsidRPr="00D6781E" w:rsidRDefault="007C47C7"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lastRenderedPageBreak/>
        <w:t>Levendosky, A. A., &amp; Graham-Bermann, S. A. (2018). Trauma and parenting in battered women: An addition to an ecological model of parenting. In </w:t>
      </w:r>
      <w:r w:rsidRPr="00D6781E">
        <w:rPr>
          <w:rFonts w:cstheme="minorHAnsi"/>
          <w:i/>
          <w:iCs/>
          <w:color w:val="222222"/>
          <w:sz w:val="24"/>
          <w:szCs w:val="24"/>
          <w:shd w:val="clear" w:color="auto" w:fill="FFFFFF"/>
        </w:rPr>
        <w:t>Children exposed to domestic violence</w:t>
      </w:r>
      <w:r w:rsidRPr="00D6781E">
        <w:rPr>
          <w:rFonts w:cstheme="minorHAnsi"/>
          <w:color w:val="222222"/>
          <w:sz w:val="24"/>
          <w:szCs w:val="24"/>
          <w:shd w:val="clear" w:color="auto" w:fill="FFFFFF"/>
        </w:rPr>
        <w:t> (pp. 25-35). Routledge.</w:t>
      </w:r>
    </w:p>
    <w:p w14:paraId="63B6BD62" w14:textId="57EF1419" w:rsidR="007C47C7" w:rsidRPr="00D6781E" w:rsidRDefault="007C47C7"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Levendosky, A. A., &amp; Graham-Bermann, S. A. (2001). Parenting in battered women: The effects of domestic violence on women and their children. </w:t>
      </w:r>
      <w:r w:rsidRPr="00D6781E">
        <w:rPr>
          <w:rFonts w:cstheme="minorHAnsi"/>
          <w:i/>
          <w:iCs/>
          <w:color w:val="222222"/>
          <w:sz w:val="24"/>
          <w:szCs w:val="24"/>
          <w:shd w:val="clear" w:color="auto" w:fill="FFFFFF"/>
        </w:rPr>
        <w:t>Journal of family violence</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16</w:t>
      </w:r>
      <w:r w:rsidRPr="00D6781E">
        <w:rPr>
          <w:rFonts w:cstheme="minorHAnsi"/>
          <w:color w:val="222222"/>
          <w:sz w:val="24"/>
          <w:szCs w:val="24"/>
          <w:shd w:val="clear" w:color="auto" w:fill="FFFFFF"/>
        </w:rPr>
        <w:t>, 171-192.</w:t>
      </w:r>
    </w:p>
    <w:p w14:paraId="51F0D007" w14:textId="013BA332" w:rsidR="007C47C7" w:rsidRPr="00D6781E" w:rsidRDefault="007C47C7"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Yount, K. M., DiGirolamo, A. M., &amp; Ramakrishnan, U. (2011). Impacts of domestic violence on child growth and nutrition: a conceptual review of the pathways of influence. </w:t>
      </w:r>
      <w:r w:rsidRPr="00D6781E">
        <w:rPr>
          <w:rFonts w:cstheme="minorHAnsi"/>
          <w:i/>
          <w:iCs/>
          <w:color w:val="222222"/>
          <w:sz w:val="24"/>
          <w:szCs w:val="24"/>
          <w:shd w:val="clear" w:color="auto" w:fill="FFFFFF"/>
        </w:rPr>
        <w:t>Social science &amp; medicine</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72</w:t>
      </w:r>
      <w:r w:rsidRPr="00D6781E">
        <w:rPr>
          <w:rFonts w:cstheme="minorHAnsi"/>
          <w:color w:val="222222"/>
          <w:sz w:val="24"/>
          <w:szCs w:val="24"/>
          <w:shd w:val="clear" w:color="auto" w:fill="FFFFFF"/>
        </w:rPr>
        <w:t>(9), 1534-1554.</w:t>
      </w:r>
    </w:p>
    <w:p w14:paraId="6D2DFE61" w14:textId="09B76184" w:rsidR="0088159C" w:rsidRPr="00D6781E" w:rsidRDefault="0088159C"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Stephenson, R., Koenig, M. A., Acharya, R., &amp; Roy, T. K. (2008). Domestic violence, contraceptive use, and unwanted pregnancy in rural India. </w:t>
      </w:r>
      <w:r w:rsidRPr="00D6781E">
        <w:rPr>
          <w:rFonts w:cstheme="minorHAnsi"/>
          <w:i/>
          <w:iCs/>
          <w:color w:val="222222"/>
          <w:sz w:val="24"/>
          <w:szCs w:val="24"/>
          <w:shd w:val="clear" w:color="auto" w:fill="FFFFFF"/>
        </w:rPr>
        <w:t>Studies in family planning</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39</w:t>
      </w:r>
      <w:r w:rsidRPr="00D6781E">
        <w:rPr>
          <w:rFonts w:cstheme="minorHAnsi"/>
          <w:color w:val="222222"/>
          <w:sz w:val="24"/>
          <w:szCs w:val="24"/>
          <w:shd w:val="clear" w:color="auto" w:fill="FFFFFF"/>
        </w:rPr>
        <w:t>(3), 177-186.</w:t>
      </w:r>
    </w:p>
    <w:p w14:paraId="52BDBEB3" w14:textId="0EC08F2D" w:rsidR="00631306" w:rsidRPr="00D6781E" w:rsidRDefault="00631306"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Cheng, D., Schwarz, E. B., Douglas, E., &amp; Horon, I. (2009). Unintended pregnancy and associated maternal preconception, prenatal and postpartum behaviors. </w:t>
      </w:r>
      <w:r w:rsidRPr="00D6781E">
        <w:rPr>
          <w:rFonts w:cstheme="minorHAnsi"/>
          <w:i/>
          <w:iCs/>
          <w:color w:val="222222"/>
          <w:sz w:val="24"/>
          <w:szCs w:val="24"/>
          <w:shd w:val="clear" w:color="auto" w:fill="FFFFFF"/>
        </w:rPr>
        <w:t>Contraception</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79</w:t>
      </w:r>
      <w:r w:rsidRPr="00D6781E">
        <w:rPr>
          <w:rFonts w:cstheme="minorHAnsi"/>
          <w:color w:val="222222"/>
          <w:sz w:val="24"/>
          <w:szCs w:val="24"/>
          <w:shd w:val="clear" w:color="auto" w:fill="FFFFFF"/>
        </w:rPr>
        <w:t>(3), 194-198.</w:t>
      </w:r>
    </w:p>
    <w:p w14:paraId="5623DC62" w14:textId="6E65DB17" w:rsidR="00CB31F6" w:rsidRPr="00D6781E" w:rsidRDefault="00CB31F6"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Wyman, P. A., Moynihan, J., Eberly, S., Cox, C., Cross, W., Jin, X., &amp; Caserta, M. T. (2007). Association of family stress with natural killer cell activity and the frequency of illnesses in children. </w:t>
      </w:r>
      <w:r w:rsidRPr="00D6781E">
        <w:rPr>
          <w:rFonts w:cstheme="minorHAnsi"/>
          <w:i/>
          <w:iCs/>
          <w:color w:val="222222"/>
          <w:sz w:val="24"/>
          <w:szCs w:val="24"/>
          <w:shd w:val="clear" w:color="auto" w:fill="FFFFFF"/>
        </w:rPr>
        <w:t>Archives of pediatrics &amp; adolescent medicine</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161</w:t>
      </w:r>
      <w:r w:rsidRPr="00D6781E">
        <w:rPr>
          <w:rFonts w:cstheme="minorHAnsi"/>
          <w:color w:val="222222"/>
          <w:sz w:val="24"/>
          <w:szCs w:val="24"/>
          <w:shd w:val="clear" w:color="auto" w:fill="FFFFFF"/>
        </w:rPr>
        <w:t>(3), 228-234.</w:t>
      </w:r>
    </w:p>
    <w:p w14:paraId="3E14412D" w14:textId="42F00723" w:rsidR="00587321" w:rsidRPr="00D6781E" w:rsidRDefault="00587321"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Shay-Zapien, G., &amp; Bullock, L. (2010). Impact of intimate partner violence on maternal child health. </w:t>
      </w:r>
      <w:r w:rsidRPr="00D6781E">
        <w:rPr>
          <w:rFonts w:cstheme="minorHAnsi"/>
          <w:i/>
          <w:iCs/>
          <w:color w:val="222222"/>
          <w:sz w:val="24"/>
          <w:szCs w:val="24"/>
          <w:shd w:val="clear" w:color="auto" w:fill="FFFFFF"/>
        </w:rPr>
        <w:t>MCN: The American Journal of Maternal/Child Nursing</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35</w:t>
      </w:r>
      <w:r w:rsidRPr="00D6781E">
        <w:rPr>
          <w:rFonts w:cstheme="minorHAnsi"/>
          <w:color w:val="222222"/>
          <w:sz w:val="24"/>
          <w:szCs w:val="24"/>
          <w:shd w:val="clear" w:color="auto" w:fill="FFFFFF"/>
        </w:rPr>
        <w:t>(4), 206-212.</w:t>
      </w:r>
    </w:p>
    <w:p w14:paraId="20C78BE7" w14:textId="5585E225" w:rsidR="00587321" w:rsidRPr="00D6781E" w:rsidRDefault="00587321"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Kitzmann, K. M., Gaylord, N. K., Holt, A. R., &amp; Kenny, E. D. (2003). Child witnesses to domestic violence: a meta-analytic review. </w:t>
      </w:r>
      <w:r w:rsidRPr="00D6781E">
        <w:rPr>
          <w:rFonts w:cstheme="minorHAnsi"/>
          <w:i/>
          <w:iCs/>
          <w:color w:val="222222"/>
          <w:sz w:val="24"/>
          <w:szCs w:val="24"/>
          <w:shd w:val="clear" w:color="auto" w:fill="FFFFFF"/>
        </w:rPr>
        <w:t>Journal of consulting and clinical psychology</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71</w:t>
      </w:r>
      <w:r w:rsidRPr="00D6781E">
        <w:rPr>
          <w:rFonts w:cstheme="minorHAnsi"/>
          <w:color w:val="222222"/>
          <w:sz w:val="24"/>
          <w:szCs w:val="24"/>
          <w:shd w:val="clear" w:color="auto" w:fill="FFFFFF"/>
        </w:rPr>
        <w:t>(2), 339.</w:t>
      </w:r>
    </w:p>
    <w:p w14:paraId="55435DB3" w14:textId="73F627F9" w:rsidR="00587321" w:rsidRPr="00D6781E" w:rsidRDefault="00587321"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Herrenkohl, T. I., Sousa, C., Tajima, E. A., Herrenkohl, R. C., &amp; Moylan, C. A. (2008). Intersection of child abuse and children's exposure to domestic violence. </w:t>
      </w:r>
      <w:r w:rsidRPr="00D6781E">
        <w:rPr>
          <w:rFonts w:cstheme="minorHAnsi"/>
          <w:i/>
          <w:iCs/>
          <w:color w:val="222222"/>
          <w:sz w:val="24"/>
          <w:szCs w:val="24"/>
          <w:shd w:val="clear" w:color="auto" w:fill="FFFFFF"/>
        </w:rPr>
        <w:t>Trauma, Violence, &amp; Abuse</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9</w:t>
      </w:r>
      <w:r w:rsidRPr="00D6781E">
        <w:rPr>
          <w:rFonts w:cstheme="minorHAnsi"/>
          <w:color w:val="222222"/>
          <w:sz w:val="24"/>
          <w:szCs w:val="24"/>
          <w:shd w:val="clear" w:color="auto" w:fill="FFFFFF"/>
        </w:rPr>
        <w:t>(2), 84-99.</w:t>
      </w:r>
    </w:p>
    <w:p w14:paraId="1A20E3BD" w14:textId="2F983EEC" w:rsidR="00376219" w:rsidRPr="00D6781E" w:rsidRDefault="00376219"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 xml:space="preserve">Rico, E., Fenn, B., Abramsky, T., &amp; Watts, C. (2011). Associations between maternal experiences of intimate partner violence and child nutrition and mortality: findings from </w:t>
      </w:r>
      <w:r w:rsidRPr="00D6781E">
        <w:rPr>
          <w:rFonts w:cstheme="minorHAnsi"/>
          <w:color w:val="222222"/>
          <w:sz w:val="24"/>
          <w:szCs w:val="24"/>
          <w:shd w:val="clear" w:color="auto" w:fill="FFFFFF"/>
        </w:rPr>
        <w:lastRenderedPageBreak/>
        <w:t>Demographic and Health Surveys in Egypt, Honduras, Kenya, Malawi and Rwanda. </w:t>
      </w:r>
      <w:r w:rsidRPr="00D6781E">
        <w:rPr>
          <w:rFonts w:cstheme="minorHAnsi"/>
          <w:i/>
          <w:iCs/>
          <w:color w:val="222222"/>
          <w:sz w:val="24"/>
          <w:szCs w:val="24"/>
          <w:shd w:val="clear" w:color="auto" w:fill="FFFFFF"/>
        </w:rPr>
        <w:t>Journal of epidemiology &amp; community health</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65</w:t>
      </w:r>
      <w:r w:rsidRPr="00D6781E">
        <w:rPr>
          <w:rFonts w:cstheme="minorHAnsi"/>
          <w:color w:val="222222"/>
          <w:sz w:val="24"/>
          <w:szCs w:val="24"/>
          <w:shd w:val="clear" w:color="auto" w:fill="FFFFFF"/>
        </w:rPr>
        <w:t>(4), 360-367.</w:t>
      </w:r>
    </w:p>
    <w:p w14:paraId="3E0D9CBC" w14:textId="419B67DC" w:rsidR="00376219" w:rsidRPr="00D6781E" w:rsidRDefault="00376219"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Åsling‐Monemi, K., Tabassum Naved, R., &amp; Persson, L. Å. (2008). Violence against women and the risk of under‐five mortality: analysis of community‐based data from rural Bangladesh. </w:t>
      </w:r>
      <w:r w:rsidRPr="00D6781E">
        <w:rPr>
          <w:rFonts w:cstheme="minorHAnsi"/>
          <w:i/>
          <w:iCs/>
          <w:color w:val="222222"/>
          <w:sz w:val="24"/>
          <w:szCs w:val="24"/>
          <w:shd w:val="clear" w:color="auto" w:fill="FFFFFF"/>
        </w:rPr>
        <w:t>Acta Paediatrica</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97</w:t>
      </w:r>
      <w:r w:rsidRPr="00D6781E">
        <w:rPr>
          <w:rFonts w:cstheme="minorHAnsi"/>
          <w:color w:val="222222"/>
          <w:sz w:val="24"/>
          <w:szCs w:val="24"/>
          <w:shd w:val="clear" w:color="auto" w:fill="FFFFFF"/>
        </w:rPr>
        <w:t>(2), 226-232.</w:t>
      </w:r>
    </w:p>
    <w:p w14:paraId="2BEB54AE" w14:textId="150A2A55" w:rsidR="00376219" w:rsidRPr="00D6781E" w:rsidRDefault="00376219"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Ackerson, L. K., &amp; Subramanian, S. (2008). Domestic violence and chronic malnutrition among women and children in India. </w:t>
      </w:r>
      <w:r w:rsidRPr="00D6781E">
        <w:rPr>
          <w:rFonts w:cstheme="minorHAnsi"/>
          <w:i/>
          <w:iCs/>
          <w:color w:val="222222"/>
          <w:sz w:val="24"/>
          <w:szCs w:val="24"/>
          <w:shd w:val="clear" w:color="auto" w:fill="FFFFFF"/>
        </w:rPr>
        <w:t>American journal of epidemiology</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167</w:t>
      </w:r>
      <w:r w:rsidRPr="00D6781E">
        <w:rPr>
          <w:rFonts w:cstheme="minorHAnsi"/>
          <w:color w:val="222222"/>
          <w:sz w:val="24"/>
          <w:szCs w:val="24"/>
          <w:shd w:val="clear" w:color="auto" w:fill="FFFFFF"/>
        </w:rPr>
        <w:t>(10), 1188-1196.</w:t>
      </w:r>
    </w:p>
    <w:p w14:paraId="165354D4" w14:textId="5EC96F5D" w:rsidR="00376219" w:rsidRPr="00D6781E" w:rsidRDefault="00935C6C"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Ellsberg, A. M. K. P. R. (2003). MC. Persson LA Violence against women increases the risk of infant and child mortality: a case-referent study in Nicaragua. </w:t>
      </w:r>
      <w:r w:rsidRPr="00D6781E">
        <w:rPr>
          <w:rFonts w:cstheme="minorHAnsi"/>
          <w:i/>
          <w:iCs/>
          <w:color w:val="222222"/>
          <w:sz w:val="24"/>
          <w:szCs w:val="24"/>
          <w:shd w:val="clear" w:color="auto" w:fill="FFFFFF"/>
        </w:rPr>
        <w:t>Bull World Health Organ</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81</w:t>
      </w:r>
      <w:r w:rsidRPr="00D6781E">
        <w:rPr>
          <w:rFonts w:cstheme="minorHAnsi"/>
          <w:color w:val="222222"/>
          <w:sz w:val="24"/>
          <w:szCs w:val="24"/>
          <w:shd w:val="clear" w:color="auto" w:fill="FFFFFF"/>
        </w:rPr>
        <w:t>, 10-16.</w:t>
      </w:r>
    </w:p>
    <w:p w14:paraId="57C10396" w14:textId="1F9AD553" w:rsidR="00935C6C" w:rsidRPr="00D6781E" w:rsidRDefault="00935C6C"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Åsling-Monemi, K., Naved, R. T., &amp; Persson, L. Å. (2009). Violence against women and increases in the risk of diarrheal disease and respiratory tract infections in infancy: a prospective cohort study in Bangladesh. </w:t>
      </w:r>
      <w:r w:rsidRPr="00D6781E">
        <w:rPr>
          <w:rFonts w:cstheme="minorHAnsi"/>
          <w:i/>
          <w:iCs/>
          <w:color w:val="222222"/>
          <w:sz w:val="24"/>
          <w:szCs w:val="24"/>
          <w:shd w:val="clear" w:color="auto" w:fill="FFFFFF"/>
        </w:rPr>
        <w:t>Archives of pediatrics &amp; adolescent medicine</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163</w:t>
      </w:r>
      <w:r w:rsidRPr="00D6781E">
        <w:rPr>
          <w:rFonts w:cstheme="minorHAnsi"/>
          <w:color w:val="222222"/>
          <w:sz w:val="24"/>
          <w:szCs w:val="24"/>
          <w:shd w:val="clear" w:color="auto" w:fill="FFFFFF"/>
        </w:rPr>
        <w:t>(10), 931-936.</w:t>
      </w:r>
    </w:p>
    <w:p w14:paraId="6FA82559" w14:textId="19107C0A" w:rsidR="00706705" w:rsidRPr="00D6781E" w:rsidRDefault="00706705"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Karamagi, C. A., Tumwine, J. K., Tylleskar, T., &amp; Heggenhougen, K. (2007). Intimate partner violence and infant morbidity: evidence of an association from a population-based study in eastern Uganda in 2003. </w:t>
      </w:r>
      <w:r w:rsidRPr="00D6781E">
        <w:rPr>
          <w:rFonts w:cstheme="minorHAnsi"/>
          <w:i/>
          <w:iCs/>
          <w:color w:val="222222"/>
          <w:sz w:val="24"/>
          <w:szCs w:val="24"/>
          <w:shd w:val="clear" w:color="auto" w:fill="FFFFFF"/>
        </w:rPr>
        <w:t>BMC pediatrics</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7</w:t>
      </w:r>
      <w:r w:rsidRPr="00D6781E">
        <w:rPr>
          <w:rFonts w:cstheme="minorHAnsi"/>
          <w:color w:val="222222"/>
          <w:sz w:val="24"/>
          <w:szCs w:val="24"/>
          <w:shd w:val="clear" w:color="auto" w:fill="FFFFFF"/>
        </w:rPr>
        <w:t>(1), 1-9</w:t>
      </w:r>
    </w:p>
    <w:p w14:paraId="1413440D" w14:textId="5FAC5EB4" w:rsidR="00DD1BEE" w:rsidRPr="00D6781E" w:rsidRDefault="00DD1BEE"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Rosen, D., Seng, J. S., Tolman, R. M., &amp; Mallinger, G. (2007). Intimate partner violence, depression, and posttraumatic stress disorder as additional predictors of low birth weight infants among low-income mothers. </w:t>
      </w:r>
      <w:r w:rsidRPr="00D6781E">
        <w:rPr>
          <w:rFonts w:cstheme="minorHAnsi"/>
          <w:i/>
          <w:iCs/>
          <w:color w:val="222222"/>
          <w:sz w:val="24"/>
          <w:szCs w:val="24"/>
          <w:shd w:val="clear" w:color="auto" w:fill="FFFFFF"/>
        </w:rPr>
        <w:t>Journal of Interpersonal Violence</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22</w:t>
      </w:r>
      <w:r w:rsidRPr="00D6781E">
        <w:rPr>
          <w:rFonts w:cstheme="minorHAnsi"/>
          <w:color w:val="222222"/>
          <w:sz w:val="24"/>
          <w:szCs w:val="24"/>
          <w:shd w:val="clear" w:color="auto" w:fill="FFFFFF"/>
        </w:rPr>
        <w:t>(10), 1305-1314.</w:t>
      </w:r>
    </w:p>
    <w:p w14:paraId="19238294" w14:textId="5F8F5D34" w:rsidR="00780465" w:rsidRPr="00D6781E" w:rsidRDefault="00780465"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Hasselmann, M. H., &amp; Reichenheim, M. E. (2006). Parental violence and the occurrence of severe and acute malnutrition in childhood. </w:t>
      </w:r>
      <w:r w:rsidRPr="00D6781E">
        <w:rPr>
          <w:rFonts w:cstheme="minorHAnsi"/>
          <w:i/>
          <w:iCs/>
          <w:color w:val="222222"/>
          <w:sz w:val="24"/>
          <w:szCs w:val="24"/>
          <w:shd w:val="clear" w:color="auto" w:fill="FFFFFF"/>
        </w:rPr>
        <w:t>Paediatric and perinatal epidemiology</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20</w:t>
      </w:r>
      <w:r w:rsidRPr="00D6781E">
        <w:rPr>
          <w:rFonts w:cstheme="minorHAnsi"/>
          <w:color w:val="222222"/>
          <w:sz w:val="24"/>
          <w:szCs w:val="24"/>
          <w:shd w:val="clear" w:color="auto" w:fill="FFFFFF"/>
        </w:rPr>
        <w:t>(4), 299-311.</w:t>
      </w:r>
    </w:p>
    <w:p w14:paraId="6499D0CA" w14:textId="3CCD5467" w:rsidR="00DD1BEE" w:rsidRPr="00D6781E" w:rsidRDefault="00780465"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Åsling-Monemi, K., Naved, R. T., &amp; Persson, L. Å. (2009). Violence against women and the risk of fetal and early childhood growth impairment: a cohort study in rural Bangladesh. </w:t>
      </w:r>
      <w:r w:rsidRPr="00D6781E">
        <w:rPr>
          <w:rFonts w:cstheme="minorHAnsi"/>
          <w:i/>
          <w:iCs/>
          <w:color w:val="222222"/>
          <w:sz w:val="24"/>
          <w:szCs w:val="24"/>
          <w:shd w:val="clear" w:color="auto" w:fill="FFFFFF"/>
        </w:rPr>
        <w:t>Archives of disease in childhood</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94</w:t>
      </w:r>
      <w:r w:rsidRPr="00D6781E">
        <w:rPr>
          <w:rFonts w:cstheme="minorHAnsi"/>
          <w:color w:val="222222"/>
          <w:sz w:val="24"/>
          <w:szCs w:val="24"/>
          <w:shd w:val="clear" w:color="auto" w:fill="FFFFFF"/>
        </w:rPr>
        <w:t>(10), 775-779.</w:t>
      </w:r>
    </w:p>
    <w:p w14:paraId="5F761F87" w14:textId="4B55A6A1" w:rsidR="00496AA0" w:rsidRPr="001C19E8" w:rsidRDefault="00496AA0" w:rsidP="003A137B">
      <w:pPr>
        <w:pStyle w:val="ListParagraph"/>
        <w:numPr>
          <w:ilvl w:val="0"/>
          <w:numId w:val="1"/>
        </w:numPr>
        <w:spacing w:line="360" w:lineRule="auto"/>
        <w:jc w:val="both"/>
        <w:rPr>
          <w:rFonts w:cstheme="minorHAnsi"/>
          <w:sz w:val="24"/>
          <w:szCs w:val="24"/>
        </w:rPr>
      </w:pPr>
      <w:r w:rsidRPr="00D6781E">
        <w:rPr>
          <w:rFonts w:cstheme="minorHAnsi"/>
          <w:color w:val="222222"/>
          <w:sz w:val="24"/>
          <w:szCs w:val="24"/>
          <w:shd w:val="clear" w:color="auto" w:fill="FFFFFF"/>
        </w:rPr>
        <w:t>Pasricha, S. R., &amp; Biggs, B. A. (2010). Undernutrition among children in south and south‐east Asia. </w:t>
      </w:r>
      <w:r w:rsidRPr="00D6781E">
        <w:rPr>
          <w:rFonts w:cstheme="minorHAnsi"/>
          <w:i/>
          <w:iCs/>
          <w:color w:val="222222"/>
          <w:sz w:val="24"/>
          <w:szCs w:val="24"/>
          <w:shd w:val="clear" w:color="auto" w:fill="FFFFFF"/>
        </w:rPr>
        <w:t>Journal of paediatrics and child health</w:t>
      </w:r>
      <w:r w:rsidRPr="00D6781E">
        <w:rPr>
          <w:rFonts w:cstheme="minorHAnsi"/>
          <w:color w:val="222222"/>
          <w:sz w:val="24"/>
          <w:szCs w:val="24"/>
          <w:shd w:val="clear" w:color="auto" w:fill="FFFFFF"/>
        </w:rPr>
        <w:t>, </w:t>
      </w:r>
      <w:r w:rsidRPr="00D6781E">
        <w:rPr>
          <w:rFonts w:cstheme="minorHAnsi"/>
          <w:i/>
          <w:iCs/>
          <w:color w:val="222222"/>
          <w:sz w:val="24"/>
          <w:szCs w:val="24"/>
          <w:shd w:val="clear" w:color="auto" w:fill="FFFFFF"/>
        </w:rPr>
        <w:t>46</w:t>
      </w:r>
      <w:r w:rsidRPr="00D6781E">
        <w:rPr>
          <w:rFonts w:cstheme="minorHAnsi"/>
          <w:color w:val="222222"/>
          <w:sz w:val="24"/>
          <w:szCs w:val="24"/>
          <w:shd w:val="clear" w:color="auto" w:fill="FFFFFF"/>
        </w:rPr>
        <w:t>(9), 497-503.</w:t>
      </w:r>
    </w:p>
    <w:p w14:paraId="524AD842" w14:textId="33C4B59A" w:rsidR="001C19E8" w:rsidRDefault="001C19E8" w:rsidP="003A137B">
      <w:pPr>
        <w:pStyle w:val="ListParagraph"/>
        <w:numPr>
          <w:ilvl w:val="0"/>
          <w:numId w:val="1"/>
        </w:numPr>
        <w:spacing w:line="360" w:lineRule="auto"/>
        <w:jc w:val="both"/>
        <w:rPr>
          <w:rFonts w:cstheme="minorHAnsi"/>
          <w:sz w:val="24"/>
          <w:szCs w:val="24"/>
        </w:rPr>
      </w:pPr>
      <w:r w:rsidRPr="001C19E8">
        <w:rPr>
          <w:rFonts w:cstheme="minorHAnsi"/>
          <w:sz w:val="24"/>
          <w:szCs w:val="24"/>
        </w:rPr>
        <w:lastRenderedPageBreak/>
        <w:t>Amarya S, Singh K, Sabharwal M. Changes during aging and their association with malnutrition. Journal of Clinical Gerontology and Geriatrics. 2015 Sep 1;6(3):78-84.</w:t>
      </w:r>
    </w:p>
    <w:p w14:paraId="60AE26E3" w14:textId="06FC5D26" w:rsidR="00E83ED9" w:rsidRDefault="00E83ED9" w:rsidP="003A137B">
      <w:pPr>
        <w:pStyle w:val="ListParagraph"/>
        <w:numPr>
          <w:ilvl w:val="0"/>
          <w:numId w:val="1"/>
        </w:numPr>
        <w:spacing w:line="360" w:lineRule="auto"/>
        <w:jc w:val="both"/>
        <w:rPr>
          <w:rFonts w:cstheme="minorHAnsi"/>
          <w:sz w:val="24"/>
          <w:szCs w:val="24"/>
        </w:rPr>
      </w:pPr>
      <w:r w:rsidRPr="00E83ED9">
        <w:rPr>
          <w:rFonts w:cstheme="minorHAnsi"/>
          <w:sz w:val="24"/>
          <w:szCs w:val="24"/>
        </w:rPr>
        <w:t>Onis MD, Frongillo EA, Blössner M. Is malnutrition declining? An analysis of changes in levels of child malnutrition since 1980. Bulletin of the world health Organization. 2000;78(10):1222-33.</w:t>
      </w:r>
    </w:p>
    <w:p w14:paraId="0017E2D2" w14:textId="5BAFDF56" w:rsidR="00E83ED9" w:rsidRDefault="00E83ED9" w:rsidP="003A137B">
      <w:pPr>
        <w:pStyle w:val="ListParagraph"/>
        <w:numPr>
          <w:ilvl w:val="0"/>
          <w:numId w:val="1"/>
        </w:numPr>
        <w:spacing w:line="360" w:lineRule="auto"/>
        <w:jc w:val="both"/>
        <w:rPr>
          <w:rFonts w:cstheme="minorHAnsi"/>
          <w:sz w:val="24"/>
          <w:szCs w:val="24"/>
        </w:rPr>
      </w:pPr>
      <w:r w:rsidRPr="00E83ED9">
        <w:rPr>
          <w:rFonts w:cstheme="minorHAnsi"/>
          <w:sz w:val="24"/>
          <w:szCs w:val="24"/>
        </w:rPr>
        <w:t>Khan AA, Bano N, Salam A. Child malnutrition: an overview of trends, issues, and policy prescriptions. Vikalpa. 2006 Oct;31(4):81-92.</w:t>
      </w:r>
    </w:p>
    <w:p w14:paraId="12C46436" w14:textId="20F5C8E9" w:rsidR="007107E3" w:rsidRDefault="007107E3" w:rsidP="003A137B">
      <w:pPr>
        <w:pStyle w:val="ListParagraph"/>
        <w:numPr>
          <w:ilvl w:val="0"/>
          <w:numId w:val="1"/>
        </w:numPr>
        <w:spacing w:line="360" w:lineRule="auto"/>
        <w:jc w:val="both"/>
        <w:rPr>
          <w:rFonts w:cstheme="minorHAnsi"/>
          <w:sz w:val="24"/>
          <w:szCs w:val="24"/>
        </w:rPr>
      </w:pPr>
      <w:r w:rsidRPr="007107E3">
        <w:rPr>
          <w:rFonts w:cstheme="minorHAnsi"/>
          <w:sz w:val="24"/>
          <w:szCs w:val="24"/>
        </w:rPr>
        <w:t>Khan NC, Khoi HH. Double burden of malnutrition: the Vietnamese perspective. Asia Pacific journal of clinical nutrition. 2008 Mar 2;17.</w:t>
      </w:r>
    </w:p>
    <w:p w14:paraId="469316F5" w14:textId="0B61523B" w:rsidR="00465E1B" w:rsidRDefault="00465E1B" w:rsidP="003A137B">
      <w:pPr>
        <w:pStyle w:val="ListParagraph"/>
        <w:numPr>
          <w:ilvl w:val="0"/>
          <w:numId w:val="1"/>
        </w:numPr>
        <w:spacing w:line="360" w:lineRule="auto"/>
        <w:jc w:val="both"/>
        <w:rPr>
          <w:rFonts w:cstheme="minorHAnsi"/>
          <w:sz w:val="24"/>
          <w:szCs w:val="24"/>
        </w:rPr>
      </w:pPr>
      <w:r w:rsidRPr="00465E1B">
        <w:rPr>
          <w:rFonts w:cstheme="minorHAnsi"/>
          <w:sz w:val="24"/>
          <w:szCs w:val="24"/>
        </w:rPr>
        <w:t>Chowdhury MR, Rahman MS, Khan MM, Mondal MN, Rahman MM, Billah B. Risk factors for child malnutrition in Bangladesh: a multilevel analysis of a nationwide population-based survey. The Journal of pediatrics. 2016 May 1;172:194-201.</w:t>
      </w:r>
    </w:p>
    <w:p w14:paraId="7DB1ABAB" w14:textId="48FC3A65" w:rsidR="003F79F5" w:rsidRDefault="003F79F5" w:rsidP="003A137B">
      <w:pPr>
        <w:pStyle w:val="ListParagraph"/>
        <w:numPr>
          <w:ilvl w:val="0"/>
          <w:numId w:val="1"/>
        </w:numPr>
        <w:spacing w:line="360" w:lineRule="auto"/>
        <w:jc w:val="both"/>
        <w:rPr>
          <w:rFonts w:cstheme="minorHAnsi"/>
          <w:sz w:val="24"/>
          <w:szCs w:val="24"/>
        </w:rPr>
      </w:pPr>
      <w:r w:rsidRPr="003F79F5">
        <w:rPr>
          <w:rFonts w:cstheme="minorHAnsi"/>
          <w:sz w:val="24"/>
          <w:szCs w:val="24"/>
        </w:rPr>
        <w:t>Rahman MA, Halder HR, Rahman MS, Parvez M. Poverty and childhood malnutrition: Evidence-based on a nationally representative survey of Bangladesh. PLoS One. 2021 Aug 23;16(8):e0256235.</w:t>
      </w:r>
    </w:p>
    <w:p w14:paraId="5DD69471" w14:textId="4475D4D6" w:rsidR="00B80C6F" w:rsidRDefault="00B80C6F" w:rsidP="003A137B">
      <w:pPr>
        <w:pStyle w:val="ListParagraph"/>
        <w:numPr>
          <w:ilvl w:val="0"/>
          <w:numId w:val="1"/>
        </w:numPr>
        <w:spacing w:line="360" w:lineRule="auto"/>
        <w:jc w:val="both"/>
        <w:rPr>
          <w:rFonts w:cstheme="minorHAnsi"/>
          <w:sz w:val="24"/>
          <w:szCs w:val="24"/>
        </w:rPr>
      </w:pPr>
      <w:r w:rsidRPr="00B80C6F">
        <w:rPr>
          <w:rFonts w:cstheme="minorHAnsi"/>
          <w:sz w:val="24"/>
          <w:szCs w:val="24"/>
        </w:rPr>
        <w:t>Rahman MS, Mushfiquee M, Masud MS, Howlader T. Association between malnutrition and anemia in under-five children and women of reproductive age: Evidence from Bangladesh Demographic and Health Survey 2011. PloS one. 2019 Jul 3;14(7):e0219170.</w:t>
      </w:r>
    </w:p>
    <w:p w14:paraId="28152B99" w14:textId="75A8F5EF" w:rsidR="00B80C6F" w:rsidRDefault="00B80C6F" w:rsidP="003A137B">
      <w:pPr>
        <w:pStyle w:val="ListParagraph"/>
        <w:numPr>
          <w:ilvl w:val="0"/>
          <w:numId w:val="1"/>
        </w:numPr>
        <w:spacing w:line="360" w:lineRule="auto"/>
        <w:jc w:val="both"/>
        <w:rPr>
          <w:rFonts w:cstheme="minorHAnsi"/>
          <w:sz w:val="24"/>
          <w:szCs w:val="24"/>
        </w:rPr>
      </w:pPr>
      <w:r w:rsidRPr="00B80C6F">
        <w:rPr>
          <w:rFonts w:cstheme="minorHAnsi"/>
          <w:sz w:val="24"/>
          <w:szCs w:val="24"/>
        </w:rPr>
        <w:t xml:space="preserve">Roy SK, Fuchs GJ, Mahmud Z, Ara G, Islam S, Shafique S, Akter SS, Chakraborty B. Intensive nutrition education with or without supplementary feeding improves the nutritional status of </w:t>
      </w:r>
      <w:r w:rsidR="00716538" w:rsidRPr="00B80C6F">
        <w:rPr>
          <w:rFonts w:cstheme="minorHAnsi"/>
          <w:sz w:val="24"/>
          <w:szCs w:val="24"/>
        </w:rPr>
        <w:t>moderately malnourished</w:t>
      </w:r>
      <w:r w:rsidRPr="00B80C6F">
        <w:rPr>
          <w:rFonts w:cstheme="minorHAnsi"/>
          <w:sz w:val="24"/>
          <w:szCs w:val="24"/>
        </w:rPr>
        <w:t xml:space="preserve"> children in Bangladesh. Journal of Health, Population and Nutrition. 2005 Dec 1:320-30.</w:t>
      </w:r>
    </w:p>
    <w:p w14:paraId="2BC9F176" w14:textId="057898EA" w:rsidR="00716538" w:rsidRDefault="00716538" w:rsidP="003A137B">
      <w:pPr>
        <w:pStyle w:val="ListParagraph"/>
        <w:numPr>
          <w:ilvl w:val="0"/>
          <w:numId w:val="1"/>
        </w:numPr>
        <w:spacing w:line="360" w:lineRule="auto"/>
        <w:jc w:val="both"/>
        <w:rPr>
          <w:rFonts w:cstheme="minorHAnsi"/>
          <w:sz w:val="24"/>
          <w:szCs w:val="24"/>
        </w:rPr>
      </w:pPr>
      <w:r w:rsidRPr="00716538">
        <w:rPr>
          <w:rFonts w:cstheme="minorHAnsi"/>
          <w:sz w:val="24"/>
          <w:szCs w:val="24"/>
        </w:rPr>
        <w:t>Jain A, Rodgers J, Kim R, Subramanian SV. The relative importance of households as a source of variation in child malnutrition: a multilevel analysis in India. International journal for equity in health. 2021 Dec; 20:1-1.</w:t>
      </w:r>
    </w:p>
    <w:p w14:paraId="54FB5258" w14:textId="54B5374F" w:rsidR="00716538" w:rsidRPr="00D6781E" w:rsidRDefault="00716538" w:rsidP="003A137B">
      <w:pPr>
        <w:pStyle w:val="ListParagraph"/>
        <w:numPr>
          <w:ilvl w:val="0"/>
          <w:numId w:val="1"/>
        </w:numPr>
        <w:spacing w:line="360" w:lineRule="auto"/>
        <w:jc w:val="both"/>
        <w:rPr>
          <w:rFonts w:cstheme="minorHAnsi"/>
          <w:sz w:val="24"/>
          <w:szCs w:val="24"/>
        </w:rPr>
      </w:pPr>
      <w:r w:rsidRPr="00716538">
        <w:rPr>
          <w:rFonts w:cstheme="minorHAnsi"/>
          <w:sz w:val="24"/>
          <w:szCs w:val="24"/>
        </w:rPr>
        <w:t>Karra M, Subramanian SV, Fink G. Height in healthy children in low-and middle-income countries: an assessment. The American Journal of Clinical Nutrition. 2017 Jan 1;105(1):121-6.</w:t>
      </w:r>
    </w:p>
    <w:sectPr w:rsidR="00716538" w:rsidRPr="00D67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66209"/>
    <w:multiLevelType w:val="hybridMultilevel"/>
    <w:tmpl w:val="6EDA3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598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7B"/>
    <w:rsid w:val="00001A3E"/>
    <w:rsid w:val="00056749"/>
    <w:rsid w:val="00061A48"/>
    <w:rsid w:val="00062228"/>
    <w:rsid w:val="000B7762"/>
    <w:rsid w:val="000F72ED"/>
    <w:rsid w:val="0013503A"/>
    <w:rsid w:val="0015267B"/>
    <w:rsid w:val="001C19E8"/>
    <w:rsid w:val="001E4C02"/>
    <w:rsid w:val="00233AAB"/>
    <w:rsid w:val="00257F73"/>
    <w:rsid w:val="0029265A"/>
    <w:rsid w:val="002A4750"/>
    <w:rsid w:val="002A6444"/>
    <w:rsid w:val="002F1562"/>
    <w:rsid w:val="0031051F"/>
    <w:rsid w:val="00376219"/>
    <w:rsid w:val="003A137B"/>
    <w:rsid w:val="003F79F5"/>
    <w:rsid w:val="0045448A"/>
    <w:rsid w:val="00465E1B"/>
    <w:rsid w:val="00496AA0"/>
    <w:rsid w:val="004A6D01"/>
    <w:rsid w:val="004B4DF1"/>
    <w:rsid w:val="004E15E2"/>
    <w:rsid w:val="00503285"/>
    <w:rsid w:val="00587321"/>
    <w:rsid w:val="00630EA0"/>
    <w:rsid w:val="00631306"/>
    <w:rsid w:val="006C0D46"/>
    <w:rsid w:val="006F3D3D"/>
    <w:rsid w:val="00702402"/>
    <w:rsid w:val="00706705"/>
    <w:rsid w:val="007107E3"/>
    <w:rsid w:val="00716538"/>
    <w:rsid w:val="00780465"/>
    <w:rsid w:val="007C47C7"/>
    <w:rsid w:val="007D6B7B"/>
    <w:rsid w:val="008373A9"/>
    <w:rsid w:val="008624F0"/>
    <w:rsid w:val="0088159C"/>
    <w:rsid w:val="00935C6C"/>
    <w:rsid w:val="009405B6"/>
    <w:rsid w:val="00962629"/>
    <w:rsid w:val="009A56DB"/>
    <w:rsid w:val="009E4F1E"/>
    <w:rsid w:val="00A40D32"/>
    <w:rsid w:val="00A74523"/>
    <w:rsid w:val="00AA4CC8"/>
    <w:rsid w:val="00AB1626"/>
    <w:rsid w:val="00B80C6F"/>
    <w:rsid w:val="00B81C87"/>
    <w:rsid w:val="00B83D8E"/>
    <w:rsid w:val="00BF1E6F"/>
    <w:rsid w:val="00BF3665"/>
    <w:rsid w:val="00C01513"/>
    <w:rsid w:val="00CB31F6"/>
    <w:rsid w:val="00CD5F3B"/>
    <w:rsid w:val="00D131FB"/>
    <w:rsid w:val="00D577B8"/>
    <w:rsid w:val="00D6781E"/>
    <w:rsid w:val="00D71EA6"/>
    <w:rsid w:val="00D76264"/>
    <w:rsid w:val="00DB2BDB"/>
    <w:rsid w:val="00DC7714"/>
    <w:rsid w:val="00DD1BEE"/>
    <w:rsid w:val="00E36D06"/>
    <w:rsid w:val="00E83ED9"/>
    <w:rsid w:val="00EA6454"/>
    <w:rsid w:val="00EE4D57"/>
    <w:rsid w:val="00F437B4"/>
    <w:rsid w:val="00F77672"/>
    <w:rsid w:val="00F9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C4FF"/>
  <w15:chartTrackingRefBased/>
  <w15:docId w15:val="{96576B7B-E893-4CC3-A285-76C5EF52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E4D57"/>
    <w:pPr>
      <w:keepNext/>
      <w:keepLines/>
      <w:spacing w:after="120" w:line="240" w:lineRule="auto"/>
      <w:jc w:val="center"/>
      <w:outlineLvl w:val="0"/>
    </w:pPr>
    <w:rPr>
      <w:rFonts w:asciiTheme="majorHAnsi" w:eastAsiaTheme="majorEastAsia" w:hAnsiTheme="majorHAnsi" w:cstheme="minorHAnsi"/>
      <w:b/>
      <w:bCs/>
      <w:color w:val="C45911" w:themeColor="accent2" w:themeShade="BF"/>
      <w:kern w:val="0"/>
      <w:sz w:val="28"/>
      <w:szCs w:val="24"/>
      <w:lang w:val="en-GB"/>
      <w14:ligatures w14:val="none"/>
    </w:rPr>
  </w:style>
  <w:style w:type="paragraph" w:styleId="Heading2">
    <w:name w:val="heading 2"/>
    <w:basedOn w:val="Normal"/>
    <w:next w:val="Normal"/>
    <w:link w:val="Heading2Char"/>
    <w:autoRedefine/>
    <w:uiPriority w:val="9"/>
    <w:unhideWhenUsed/>
    <w:qFormat/>
    <w:rsid w:val="00EE4D57"/>
    <w:pPr>
      <w:keepNext/>
      <w:keepLines/>
      <w:shd w:val="clear" w:color="auto" w:fill="FFFFFF"/>
      <w:spacing w:before="120" w:after="120" w:line="240" w:lineRule="auto"/>
      <w:outlineLvl w:val="1"/>
    </w:pPr>
    <w:rPr>
      <w:rFonts w:ascii="Calibri Light" w:eastAsiaTheme="majorEastAsia" w:hAnsi="Calibri Light" w:cs="Calibri Light"/>
      <w:b/>
      <w:bCs/>
      <w:color w:val="0070C0"/>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D57"/>
    <w:rPr>
      <w:rFonts w:asciiTheme="majorHAnsi" w:eastAsiaTheme="majorEastAsia" w:hAnsiTheme="majorHAnsi" w:cstheme="minorHAnsi"/>
      <w:b/>
      <w:bCs/>
      <w:color w:val="C45911" w:themeColor="accent2" w:themeShade="BF"/>
      <w:kern w:val="0"/>
      <w:sz w:val="28"/>
      <w:szCs w:val="24"/>
      <w:lang w:val="en-GB"/>
      <w14:ligatures w14:val="none"/>
    </w:rPr>
  </w:style>
  <w:style w:type="character" w:customStyle="1" w:styleId="Heading2Char">
    <w:name w:val="Heading 2 Char"/>
    <w:basedOn w:val="DefaultParagraphFont"/>
    <w:link w:val="Heading2"/>
    <w:uiPriority w:val="9"/>
    <w:rsid w:val="00EE4D57"/>
    <w:rPr>
      <w:rFonts w:ascii="Calibri Light" w:eastAsiaTheme="majorEastAsia" w:hAnsi="Calibri Light" w:cs="Calibri Light"/>
      <w:b/>
      <w:bCs/>
      <w:color w:val="0070C0"/>
      <w:kern w:val="0"/>
      <w:sz w:val="24"/>
      <w:szCs w:val="24"/>
      <w:shd w:val="clear" w:color="auto" w:fill="FFFFFF"/>
      <w:lang w:val="en-GB"/>
      <w14:ligatures w14:val="none"/>
    </w:rPr>
  </w:style>
  <w:style w:type="paragraph" w:styleId="Caption">
    <w:name w:val="caption"/>
    <w:basedOn w:val="Normal"/>
    <w:next w:val="Normal"/>
    <w:autoRedefine/>
    <w:uiPriority w:val="35"/>
    <w:unhideWhenUsed/>
    <w:qFormat/>
    <w:rsid w:val="00EE4D57"/>
    <w:pPr>
      <w:spacing w:after="200" w:line="240" w:lineRule="auto"/>
    </w:pPr>
    <w:rPr>
      <w:i/>
      <w:iCs/>
      <w:color w:val="000000" w:themeColor="text1"/>
      <w:sz w:val="20"/>
      <w:szCs w:val="18"/>
    </w:rPr>
  </w:style>
  <w:style w:type="paragraph" w:styleId="ListParagraph">
    <w:name w:val="List Paragraph"/>
    <w:basedOn w:val="Normal"/>
    <w:uiPriority w:val="34"/>
    <w:qFormat/>
    <w:rsid w:val="003A137B"/>
    <w:pPr>
      <w:ind w:left="720"/>
      <w:contextualSpacing/>
    </w:pPr>
  </w:style>
  <w:style w:type="table" w:styleId="TableGrid">
    <w:name w:val="Table Grid"/>
    <w:basedOn w:val="TableNormal"/>
    <w:uiPriority w:val="59"/>
    <w:rsid w:val="00E36D06"/>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39819">
      <w:bodyDiv w:val="1"/>
      <w:marLeft w:val="0"/>
      <w:marRight w:val="0"/>
      <w:marTop w:val="0"/>
      <w:marBottom w:val="0"/>
      <w:divBdr>
        <w:top w:val="none" w:sz="0" w:space="0" w:color="auto"/>
        <w:left w:val="none" w:sz="0" w:space="0" w:color="auto"/>
        <w:bottom w:val="none" w:sz="0" w:space="0" w:color="auto"/>
        <w:right w:val="none" w:sz="0" w:space="0" w:color="auto"/>
      </w:divBdr>
    </w:div>
    <w:div w:id="1146313673">
      <w:bodyDiv w:val="1"/>
      <w:marLeft w:val="0"/>
      <w:marRight w:val="0"/>
      <w:marTop w:val="0"/>
      <w:marBottom w:val="0"/>
      <w:divBdr>
        <w:top w:val="none" w:sz="0" w:space="0" w:color="auto"/>
        <w:left w:val="none" w:sz="0" w:space="0" w:color="auto"/>
        <w:bottom w:val="none" w:sz="0" w:space="0" w:color="auto"/>
        <w:right w:val="none" w:sz="0" w:space="0" w:color="auto"/>
      </w:divBdr>
    </w:div>
    <w:div w:id="1213152710">
      <w:bodyDiv w:val="1"/>
      <w:marLeft w:val="0"/>
      <w:marRight w:val="0"/>
      <w:marTop w:val="0"/>
      <w:marBottom w:val="0"/>
      <w:divBdr>
        <w:top w:val="none" w:sz="0" w:space="0" w:color="auto"/>
        <w:left w:val="none" w:sz="0" w:space="0" w:color="auto"/>
        <w:bottom w:val="none" w:sz="0" w:space="0" w:color="auto"/>
        <w:right w:val="none" w:sz="0" w:space="0" w:color="auto"/>
      </w:divBdr>
    </w:div>
    <w:div w:id="200457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BDB3-516B-4500-A00C-3216DFE9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19</Pages>
  <Words>5919</Words>
  <Characters>33739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Hossain</dc:creator>
  <cp:keywords/>
  <dc:description/>
  <cp:lastModifiedBy>Sabbir Hossain</cp:lastModifiedBy>
  <cp:revision>70</cp:revision>
  <dcterms:created xsi:type="dcterms:W3CDTF">2023-10-29T14:08:00Z</dcterms:created>
  <dcterms:modified xsi:type="dcterms:W3CDTF">2023-12-21T17:30:00Z</dcterms:modified>
</cp:coreProperties>
</file>