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Times New Roman" w:cs="Times New Roman" w:eastAsia="Times New Roman" w:hAnsi="Times New Roman"/>
          <w:b/>
          <w:bCs/>
          <w:sz w:val="30"/>
          <w:szCs w:val="30"/>
        </w:rPr>
        <w:br/>
        <w:t xml:space="preserve">A Topology-Aware Graph Attention Framework for Intra-Urban
Transport Policy Targeting in Dhaka, Bangladesh</w:t>
      </w:r>
    </w:p>
    <w:p>
      <w:pPr>
        <w:spacing w:before="60" w:after="0"/>
      </w:pPr>
      <w:r>
        <w:t xml:space="preserve"/>
      </w:r>
    </w:p>
    <w:p>
      <w:pPr>
        <w:spacing w:before="0" w:after="40"/>
        <w:jc w:val="center"/>
      </w:pPr>
      <w:r>
        <w:rPr>
          <w:rFonts w:ascii="Times New Roman" w:cs="Times New Roman" w:eastAsia="Times New Roman" w:hAnsi="Times New Roman"/>
          <w:b/>
          <w:bCs/>
          <w:sz w:val="22"/>
          <w:szCs w:val="22"/>
        </w:rPr>
        <w:t xml:space="preserve">Mehzad Galib, Md. Sabbir Hossain</w:t>
      </w:r>
    </w:p>
    <w:p>
      <w:pPr>
        <w:spacing w:before="0" w:after="40"/>
        <w:jc w:val="center"/>
      </w:pPr>
      <w:r>
        <w:rPr>
          <w:rFonts w:ascii="Times New Roman" w:cs="Times New Roman" w:eastAsia="Times New Roman" w:hAnsi="Times New Roman"/>
          <w:i/>
          <w:iCs/>
          <w:sz w:val="18"/>
          <w:szCs w:val="18"/>
        </w:rPr>
        <w:t xml:space="preserve">Department of Computer Science and Engineering</w:t>
      </w:r>
    </w:p>
    <w:p>
      <w:pPr>
        <w:spacing w:before="0" w:after="120"/>
        <w:jc w:val="center"/>
      </w:pPr>
      <w:r>
        <w:rPr>
          <w:rFonts w:ascii="Times New Roman" w:cs="Times New Roman" w:eastAsia="Times New Roman" w:hAnsi="Times New Roman"/>
          <w:i/>
          <w:iCs/>
          <w:sz w:val="18"/>
          <w:szCs w:val="18"/>
        </w:rPr>
        <w:t xml:space="preserve">Bangladesh University of Engineering and Technology (BUET), Dhaka, Bangladesh</w:t>
      </w:r>
    </w:p>
    <w:p>
      <w:pPr>
        <w:pBdr>
          <w:bottom w:val="single" w:color="000000" w:sz="4" w:space="1"/>
        </w:pBdr>
        <w:spacing w:before="80" w:after="80"/>
      </w:pPr>
      <w:r>
        <w:t xml:space="preserve"/>
      </w:r>
    </w:p>
    <w:p>
      <w:pPr>
        <w:spacing w:before="60" w:after="0"/>
      </w:pPr>
      <w:r>
        <w:t xml:space="preserve"/>
      </w:r>
    </w:p>
    <w:p>
      <w:pPr>
        <w:spacing w:before="0" w:after="80" w:line="260"/>
        <w:jc w:val="both"/>
      </w:pPr>
      <w:r>
        <w:rPr>
          <w:rFonts w:ascii="Times New Roman" w:cs="Times New Roman" w:eastAsia="Times New Roman" w:hAnsi="Times New Roman"/>
          <w:b/>
          <w:bCs/>
          <w:sz w:val="18"/>
          <w:szCs w:val="18"/>
        </w:rPr>
        <w:t xml:space="preserve">Abstract—</w:t>
      </w:r>
      <w:r>
        <w:rPr>
          <w:rFonts w:ascii="Times New Roman" w:cs="Times New Roman" w:eastAsia="Times New Roman" w:hAnsi="Times New Roman"/>
          <w:sz w:val="18"/>
          <w:szCs w:val="18"/>
        </w:rPr>
        <w:t xml:space="preserve">This paper presents a two-stage framework for intra-urban transport policy targeting in Dhaka, Bangladesh, combining a four-version unsupervised clustering audit (V1–V4) with a Graph Attention Topology (GAT) pipeline applied to 790 zones and 338,429 real OpenStreetMap intersections. The V1–V4 audit systematically corrected failures in OSM extraction, feature engineering, and cluster labelling, finding that K-Means with k = 2 consistently outperformed all configurations (silhouette scores 0.366–0.551) and that Dhaka’s road network organises along a connectivity axis rather than discrete morphological archetypes. The GAT extension applies exact Brandes betweenness centrality (BC) to every intersection, finding a city-wide mean maximum BC of 0.380 ± 0.132, with 22.5% of zones exhibiting BC above 0.50. A Mann–Whitney test confirms significant BC differences between the two topology clusters (U = 78,588; p = 3.97×10⁻³⁶). Critically, orientation entropy — the primary morphological feature — shows no correlation with maximum BC (Spearman r = 0.02; p = 0.58), establishing that street geometry and routing vulnerability are orthogonal properties. The joint framework (TCGA) produces GPS-locatable, policy-actionable bottleneck rankings conditioned on morphological context, identifying the peripheral north-east and south-west fringe as the city’s highest-priority intervention zones.</w:t>
      </w:r>
    </w:p>
    <w:p>
      <w:pPr>
        <w:spacing w:before="0" w:after="60" w:line="260"/>
        <w:jc w:val="both"/>
      </w:pPr>
      <w:r>
        <w:rPr>
          <w:rFonts w:ascii="Times New Roman" w:cs="Times New Roman" w:eastAsia="Times New Roman" w:hAnsi="Times New Roman"/>
          <w:b/>
          <w:bCs/>
          <w:sz w:val="18"/>
          <w:szCs w:val="18"/>
        </w:rPr>
        <w:t xml:space="preserve">Index Terms—</w:t>
      </w:r>
      <w:r>
        <w:rPr>
          <w:rFonts w:ascii="Times New Roman" w:cs="Times New Roman" w:eastAsia="Times New Roman" w:hAnsi="Times New Roman"/>
          <w:i/>
          <w:iCs/>
          <w:sz w:val="18"/>
          <w:szCs w:val="18"/>
        </w:rPr>
        <w:t xml:space="preserve">urban road network, betweenness centrality, graph attention, topology clustering, Dhaka, transport policy.</w:t>
      </w:r>
    </w:p>
    <w:p>
      <w:pPr>
        <w:pBdr>
          <w:bottom w:val="single" w:color="000000" w:sz="4" w:space="1"/>
        </w:pBdr>
        <w:spacing w:before="80" w:after="80"/>
      </w:pPr>
      <w:r>
        <w:t xml:space="preserve"/>
      </w:r>
    </w:p>
    <w:p>
      <w:pPr>
        <w:spacing w:before="80" w:after="0"/>
      </w:pPr>
      <w:r>
        <w:t xml:space="preserve"/>
      </w:r>
    </w:p>
    <w:p>
      <w:pPr>
        <w:spacing w:before="160" w:after="80"/>
        <w:jc w:val="center"/>
      </w:pPr>
      <w:r>
        <w:rPr>
          <w:rFonts w:ascii="Times New Roman" w:cs="Times New Roman" w:eastAsia="Times New Roman" w:hAnsi="Times New Roman"/>
          <w:b w:val="false"/>
          <w:bCs w:val="false"/>
          <w:caps/>
          <w:sz w:val="22"/>
          <w:szCs w:val="22"/>
        </w:rPr>
        <w:t xml:space="preserve">I. INTRODUCTION</w:t>
      </w:r>
    </w:p>
    <w:p>
      <w:pPr>
        <w:spacing w:before="0" w:after="100" w:line="276"/>
        <w:ind w:firstLine="400"/>
        <w:jc w:val="both"/>
      </w:pPr>
      <w:r>
        <w:rPr>
          <w:rFonts w:ascii="Times New Roman" w:cs="Times New Roman" w:eastAsia="Times New Roman" w:hAnsi="Times New Roman"/>
          <w:sz w:val="20"/>
          <w:szCs w:val="20"/>
        </w:rPr>
        <w:t xml:space="preserve">Urban road network topology encodes the morphological history of a city. In cities of the Global North, this history supports a well-established classification vocabulary: grid networks, radial-concentric patterns, organic mazes, and peripheral dendrites [1, 2]. These archetypes carry direct transport-policy implications: grid zones support regular bus routes; radial corridors suit trunk-and-feeder systems; organic mazes require micro-transit solutions.</w:t>
      </w:r>
    </w:p>
    <w:p>
      <w:pPr>
        <w:spacing w:before="60" w:after="0"/>
      </w:pPr>
      <w:r>
        <w:t xml:space="preserve"/>
      </w:r>
    </w:p>
    <w:p>
      <w:pPr>
        <w:spacing w:before="0" w:after="100" w:line="276"/>
        <w:ind w:firstLine="400"/>
        <w:jc w:val="both"/>
      </w:pPr>
      <w:r>
        <w:rPr>
          <w:rFonts w:ascii="Times New Roman" w:cs="Times New Roman" w:eastAsia="Times New Roman" w:hAnsi="Times New Roman"/>
          <w:sz w:val="20"/>
          <w:szCs w:val="20"/>
        </w:rPr>
        <w:t xml:space="preserve">Dhaka — population exceeding 22 million, road density locally above 25 km/km² — presents a structurally different challenge. Four hundred years of unplanned organic densification, punctuated by discontinuous RAJUK-planned interventions, have created a morphological landscape where five distinct historical logics (river-radial, Moghul-era organic bazaar lanes, post-independence sector grids, ribbon development, and informal infill) are spatially interleaved at the block level [3, 4]. Standard Western classification frameworks are not directly applicable.</w:t>
      </w:r>
    </w:p>
    <w:p>
      <w:pPr>
        <w:spacing w:before="60" w:after="0"/>
      </w:pPr>
      <w:r>
        <w:t xml:space="preserve"/>
      </w:r>
    </w:p>
    <w:p>
      <w:pPr>
        <w:spacing w:before="0" w:after="100" w:line="276"/>
        <w:ind w:firstLine="400"/>
        <w:jc w:val="both"/>
      </w:pPr>
      <w:r>
        <w:rPr>
          <w:rFonts w:ascii="Times New Roman" w:cs="Times New Roman" w:eastAsia="Times New Roman" w:hAnsi="Times New Roman"/>
          <w:sz w:val="20"/>
          <w:szCs w:val="20"/>
        </w:rPr>
        <w:t xml:space="preserve">This paper contributes a two-stage framework that directly addresses this challenge. </w:t>
      </w:r>
      <w:r>
        <w:rPr>
          <w:rFonts w:ascii="Times New Roman" w:cs="Times New Roman" w:eastAsia="Times New Roman" w:hAnsi="Times New Roman"/>
          <w:b/>
          <w:bCs/>
          <w:sz w:val="20"/>
          <w:szCs w:val="20"/>
        </w:rPr>
        <w:t xml:space="preserve">Stage 1 (Sections III–IV):</w:t>
      </w:r>
      <w:r>
        <w:rPr>
          <w:rFonts w:ascii="Times New Roman" w:cs="Times New Roman" w:eastAsia="Times New Roman" w:hAnsi="Times New Roman"/>
          <w:sz w:val="20"/>
          <w:szCs w:val="20"/>
        </w:rPr>
        <w:t xml:space="preserve"> a four-version methodological audit (V1–V4) establishing what Dhaka’s road network topology actually supports and why. </w:t>
      </w:r>
      <w:r>
        <w:rPr>
          <w:rFonts w:ascii="Times New Roman" w:cs="Times New Roman" w:eastAsia="Times New Roman" w:hAnsi="Times New Roman"/>
          <w:b/>
          <w:bCs/>
          <w:sz w:val="20"/>
          <w:szCs w:val="20"/>
        </w:rPr>
        <w:t xml:space="preserve">Stage 2 (Sections V–VI):</w:t>
      </w:r>
      <w:r>
        <w:rPr>
          <w:rFonts w:ascii="Times New Roman" w:cs="Times New Roman" w:eastAsia="Times New Roman" w:hAnsi="Times New Roman"/>
          <w:sz w:val="20"/>
          <w:szCs w:val="20"/>
        </w:rPr>
        <w:t xml:space="preserve"> the Graph Attention Topology (GAT) pipeline, which operationalises the clustering findings at the intersection level using exact betweenness centrality across 338,429 real OSM nodes. The conjunction of the two stages — the Topology-Conditioned Graph Attention (TCGA) framework — produces a city-wide, GPS-locatable bottleneck ranking conditioned on structural context.</w:t>
      </w:r>
    </w:p>
    <w:p>
      <w:pPr>
        <w:spacing w:before="60" w:after="0"/>
      </w:pPr>
      <w:r>
        <w:t xml:space="preserve"/>
      </w:r>
    </w:p>
    <w:p>
      <w:pPr>
        <w:spacing w:before="120" w:after="60"/>
        <w:jc w:val="left"/>
      </w:pPr>
      <w:r>
        <w:rPr>
          <w:rFonts w:ascii="Times New Roman" w:cs="Times New Roman" w:eastAsia="Times New Roman" w:hAnsi="Times New Roman"/>
          <w:b/>
          <w:bCs/>
          <w:i/>
          <w:iCs/>
          <w:sz w:val="20"/>
          <w:szCs w:val="20"/>
        </w:rPr>
        <w:t xml:space="preserve">A. Related Work</w:t>
      </w:r>
    </w:p>
    <w:p>
      <w:pPr>
        <w:spacing w:before="0" w:after="100" w:line="276"/>
        <w:ind w:firstLine="400"/>
        <w:jc w:val="both"/>
      </w:pPr>
      <w:r>
        <w:rPr>
          <w:rFonts w:ascii="Times New Roman" w:cs="Times New Roman" w:eastAsia="Times New Roman" w:hAnsi="Times New Roman"/>
          <w:sz w:val="20"/>
          <w:szCs w:val="20"/>
        </w:rPr>
        <w:t xml:space="preserve">Porta et al. [1] established primal graph analysis as the standard approach for urban street classification. Boeing [5] applied orientation entropy to 100 global cities, demonstrating clear bimodal orientation distributions in grid-planned cities but noting high-entropy distributions in organic cities. Barthélemy [6] argued that betweenness centrality concentration is the most policy-relevant topological distinction in road networks. Taubenböck et al. [7] found that South Asian megacity morphology cannot be classified by Western archetypes below the ward scale. Brandes [8] introduced the O(n·m) exact betweenness algorithm used in this study. No prior work has combined zone-level morphological clustering with intersection-level betweenness analysis for a comprehensive transport policy targeting framework in South Asian cities.</w:t>
      </w:r>
    </w:p>
    <w:p>
      <w:pPr>
        <w:spacing w:before="80" w:after="0"/>
      </w:pPr>
      <w:r>
        <w:t xml:space="preserve"/>
      </w:r>
    </w:p>
    <w:p>
      <w:pPr>
        <w:spacing w:before="160" w:after="80"/>
        <w:jc w:val="center"/>
      </w:pPr>
      <w:r>
        <w:rPr>
          <w:rFonts w:ascii="Times New Roman" w:cs="Times New Roman" w:eastAsia="Times New Roman" w:hAnsi="Times New Roman"/>
          <w:b w:val="false"/>
          <w:bCs w:val="false"/>
          <w:caps/>
          <w:sz w:val="22"/>
          <w:szCs w:val="22"/>
        </w:rPr>
        <w:t xml:space="preserve">II. DATASET AND STUDY AREA</w:t>
      </w:r>
    </w:p>
    <w:p>
      <w:pPr>
        <w:spacing w:before="0" w:after="100" w:line="276"/>
        <w:ind w:firstLine="400"/>
        <w:jc w:val="both"/>
      </w:pPr>
      <w:r>
        <w:rPr>
          <w:rFonts w:ascii="Times New Roman" w:cs="Times New Roman" w:eastAsia="Times New Roman" w:hAnsi="Times New Roman"/>
          <w:sz w:val="20"/>
          <w:szCs w:val="20"/>
        </w:rPr>
        <w:t xml:space="preserve">The study area covers the Dhaka Metropolitan Area within the bounding box 23.65°N–23.95°N, 90.25°E–90.48°E. Road network data was extracted from OpenStreetMap (OSMnx, network_type=’all’) using a 1 km × 1 km grid with 800 m buffer per cell (V3 configuration). The dataset comprises 827 valid zones; 790 zones with ≥30 nodes were used for betweenness analysis. A total of 338,429 unique OSM intersections are represented in the node-level dataset.</w:t>
      </w:r>
    </w:p>
    <w:p>
      <w:pPr>
        <w:spacing w:before="60" w:after="0"/>
      </w:pPr>
      <w:r>
        <w:t xml:space="preserve"/>
      </w:r>
    </w:p>
    <w:p>
      <w:pPr>
        <w:spacing w:before="0" w:after="100" w:line="276"/>
        <w:ind w:firstLine="400"/>
        <w:jc w:val="both"/>
      </w:pPr>
      <w:r>
        <w:rPr>
          <w:rFonts w:ascii="Times New Roman" w:cs="Times New Roman" w:eastAsia="Times New Roman" w:hAnsi="Times New Roman"/>
          <w:sz w:val="20"/>
          <w:szCs w:val="20"/>
        </w:rPr>
        <w:t xml:space="preserve">The Dhaka Road Network Topology Features dataset (DRNTF-2025) [9] was released as the primary output of the V3 pipeline, comprising 27 topological features per zone, cluster assignments, confidence scores, and the V3/V4 GeoPackage spatial layers.</w:t>
      </w:r>
    </w:p>
    <w:p>
      <w:pPr>
        <w:spacing w:before="80" w:after="0"/>
      </w:pPr>
      <w:r>
        <w:t xml:space="preserve"/>
      </w:r>
    </w:p>
    <w:p>
      <w:pPr>
        <w:spacing w:before="160" w:after="80"/>
        <w:jc w:val="center"/>
      </w:pPr>
      <w:r>
        <w:rPr>
          <w:rFonts w:ascii="Times New Roman" w:cs="Times New Roman" w:eastAsia="Times New Roman" w:hAnsi="Times New Roman"/>
          <w:b w:val="false"/>
          <w:bCs w:val="false"/>
          <w:caps/>
          <w:sz w:val="22"/>
          <w:szCs w:val="22"/>
        </w:rPr>
        <w:t xml:space="preserve">III. METHODOLOGY: V1–V4 CLUSTERING AUDIT</w:t>
      </w:r>
    </w:p>
    <w:p>
      <w:pPr>
        <w:spacing w:before="120" w:after="60"/>
        <w:jc w:val="left"/>
      </w:pPr>
      <w:r>
        <w:rPr>
          <w:rFonts w:ascii="Times New Roman" w:cs="Times New Roman" w:eastAsia="Times New Roman" w:hAnsi="Times New Roman"/>
          <w:b/>
          <w:bCs/>
          <w:i/>
          <w:iCs/>
          <w:sz w:val="20"/>
          <w:szCs w:val="20"/>
        </w:rPr>
        <w:t xml:space="preserve">A. Feature Engineering</w:t>
      </w:r>
    </w:p>
    <w:p>
      <w:pPr>
        <w:spacing w:before="0" w:after="100" w:line="276"/>
        <w:ind w:firstLine="400"/>
        <w:jc w:val="both"/>
      </w:pPr>
      <w:r>
        <w:rPr>
          <w:rFonts w:ascii="Times New Roman" w:cs="Times New Roman" w:eastAsia="Times New Roman" w:hAnsi="Times New Roman"/>
          <w:sz w:val="20"/>
          <w:szCs w:val="20"/>
        </w:rPr>
        <w:t xml:space="preserve">Twenty-seven topological features were computed per zone, falling into four functional groups: structural topology (density, transitivity, avg_clustering_coef, avg_degree, n_wcc/gscc/gwcc counts); connectivity corrections (orientation_entropy, wcc_fragmentation, hub_dominance_ratio, path_length_p90_norm, betweenness_gini); centrality measures (mean_closeness, mean_betweenness, mean_katz, mean_pagerank, global_efficiency, local_efficiency); and network metadata (node_count, osm_completeness). V1 used 23 features, missing the four connectivity corrections. The reciprocity feature was removed after V1 due to saturation at 0.98 across all zones.</w:t>
      </w:r>
    </w:p>
    <w:p>
      <w:pPr>
        <w:spacing w:before="60" w:after="0"/>
      </w:pPr>
      <w:r>
        <w:t xml:space="preserve"/>
      </w:r>
    </w:p>
    <w:p>
      <w:pPr>
        <w:spacing w:before="0" w:after="100" w:line="276"/>
        <w:ind w:firstLine="400"/>
        <w:jc w:val="both"/>
      </w:pPr>
      <w:r>
        <w:rPr>
          <w:rFonts w:ascii="Times New Roman" w:cs="Times New Roman" w:eastAsia="Times New Roman" w:hAnsi="Times New Roman"/>
          <w:sz w:val="20"/>
          <w:szCs w:val="20"/>
        </w:rPr>
        <w:t xml:space="preserve">Four methodological deviations from the original proposal were executed across the versions:</w:t>
      </w:r>
      <w:r>
        <w:rPr>
          <w:rFonts w:ascii="Times New Roman" w:cs="Times New Roman" w:eastAsia="Times New Roman" w:hAnsi="Times New Roman"/>
          <w:b/>
          <w:bCs/>
          <w:sz w:val="20"/>
          <w:szCs w:val="20"/>
        </w:rPr>
        <w:t xml:space="preserve"> (1)</w:t>
      </w:r>
      <w:r>
        <w:rPr>
          <w:rFonts w:ascii="Times New Roman" w:cs="Times New Roman" w:eastAsia="Times New Roman" w:hAnsi="Times New Roman"/>
          <w:sz w:val="20"/>
          <w:szCs w:val="20"/>
        </w:rPr>
        <w:t xml:space="preserve"> network_type changed from drive to all, correcting the exclusion of Old Dhaka’s goli lane network;</w:t>
      </w:r>
      <w:r>
        <w:rPr>
          <w:rFonts w:ascii="Times New Roman" w:cs="Times New Roman" w:eastAsia="Times New Roman" w:hAnsi="Times New Roman"/>
          <w:b/>
          <w:bCs/>
          <w:sz w:val="20"/>
          <w:szCs w:val="20"/>
        </w:rPr>
        <w:t xml:space="preserve"> (2)</w:t>
      </w:r>
      <w:r>
        <w:rPr>
          <w:rFonts w:ascii="Times New Roman" w:cs="Times New Roman" w:eastAsia="Times New Roman" w:hAnsi="Times New Roman"/>
          <w:sz w:val="20"/>
          <w:szCs w:val="20"/>
        </w:rPr>
        <w:t xml:space="preserve"> the northern bounding box was extended from 23.85°N to 23.95°N to include Uttara DOHS;</w:t>
      </w:r>
      <w:r>
        <w:rPr>
          <w:rFonts w:ascii="Times New Roman" w:cs="Times New Roman" w:eastAsia="Times New Roman" w:hAnsi="Times New Roman"/>
          <w:b/>
          <w:bCs/>
          <w:sz w:val="20"/>
          <w:szCs w:val="20"/>
        </w:rPr>
        <w:t xml:space="preserve"> (3)</w:t>
      </w:r>
      <w:r>
        <w:rPr>
          <w:rFonts w:ascii="Times New Roman" w:cs="Times New Roman" w:eastAsia="Times New Roman" w:hAnsi="Times New Roman"/>
          <w:sz w:val="20"/>
          <w:szCs w:val="20"/>
        </w:rPr>
        <w:t xml:space="preserve"> the betweenness Gini formula was corrected (V1’s formula produced negative values);</w:t>
      </w:r>
      <w:r>
        <w:rPr>
          <w:rFonts w:ascii="Times New Roman" w:cs="Times New Roman" w:eastAsia="Times New Roman" w:hAnsi="Times New Roman"/>
          <w:b/>
          <w:bCs/>
          <w:sz w:val="20"/>
          <w:szCs w:val="20"/>
        </w:rPr>
        <w:t xml:space="preserve"> (4)</w:t>
      </w:r>
      <w:r>
        <w:rPr>
          <w:rFonts w:ascii="Times New Roman" w:cs="Times New Roman" w:eastAsia="Times New Roman" w:hAnsi="Times New Roman"/>
          <w:sz w:val="20"/>
          <w:szCs w:val="20"/>
        </w:rPr>
        <w:t xml:space="preserve"> Western archetype labelling was replaced by data-driven neutral cluster identifiers (V3–V4).</w:t>
      </w:r>
    </w:p>
    <w:p>
      <w:pPr>
        <w:spacing w:before="60" w:after="0"/>
      </w:pPr>
      <w:r>
        <w:t xml:space="preserve"/>
      </w:r>
    </w:p>
    <w:p>
      <w:pPr>
        <w:spacing w:before="120" w:after="60"/>
        <w:jc w:val="left"/>
      </w:pPr>
      <w:r>
        <w:rPr>
          <w:rFonts w:ascii="Times New Roman" w:cs="Times New Roman" w:eastAsia="Times New Roman" w:hAnsi="Times New Roman"/>
          <w:b/>
          <w:bCs/>
          <w:i/>
          <w:iCs/>
          <w:sz w:val="20"/>
          <w:szCs w:val="20"/>
        </w:rPr>
        <w:t xml:space="preserve">B. Clustering Configuration</w:t>
      </w:r>
    </w:p>
    <w:p>
      <w:pPr>
        <w:spacing w:before="0" w:after="100" w:line="276"/>
        <w:ind w:firstLine="400"/>
        <w:jc w:val="both"/>
      </w:pPr>
      <w:r>
        <w:rPr>
          <w:rFonts w:ascii="Times New Roman" w:cs="Times New Roman" w:eastAsia="Times New Roman" w:hAnsi="Times New Roman"/>
          <w:sz w:val="20"/>
          <w:szCs w:val="20"/>
        </w:rPr>
        <w:t xml:space="preserve">K-Means with k determined by silhouette and Calinski-Harabasz criteria was the primary algorithm, cross-validated against DBSCAN and GMM at every version. PCA was applied prior to clustering (target: 95% explained variance). The spatial grid was 1 km (V1–V3) and 2 km (V4).</w:t>
      </w:r>
    </w:p>
    <w:p>
      <w:pPr>
        <w:spacing w:before="80" w:after="0"/>
      </w:pPr>
      <w:r>
        <w:t xml:space="preserve"/>
      </w:r>
    </w:p>
    <w:p>
      <w:pPr>
        <w:spacing w:before="120" w:after="40"/>
        <w:jc w:val="center"/>
      </w:pPr>
      <w:r>
        <w:rPr>
          <w:rFonts w:ascii="Arial" w:cs="Arial" w:eastAsia="Arial" w:hAnsi="Arial"/>
          <w:b/>
          <w:bCs/>
          <w:caps/>
          <w:sz w:val="18"/>
          <w:szCs w:val="18"/>
        </w:rPr>
        <w:t xml:space="preserve">TABLE I</w:t>
      </w:r>
      <w:r>
        <w:rPr>
          <w:rFonts w:ascii="Arial" w:cs="Arial" w:eastAsia="Arial" w:hAnsi="Arial"/>
          <w:b/>
          <w:bCs/>
          <w:sz w:val="18"/>
          <w:szCs w:val="18"/>
        </w:rPr>
        <w:br/>
        <w:t xml:space="preserve">
V1–V4 Configuration and Clustering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W w:type="dxa" w:w="8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Ver.</w:t>
            </w:r>
          </w:p>
        </w:tc>
        <w:tc>
          <w:tcPr>
            <w:tcW w:type="dxa" w:w="8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Grid</w:t>
            </w:r>
          </w:p>
        </w:tc>
        <w:tc>
          <w:tcPr>
            <w:tcW w:type="dxa" w:w="9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Net.</w:t>
            </w:r>
          </w:p>
        </w:tc>
        <w:tc>
          <w:tcPr>
            <w:tcW w:type="dxa" w:w="8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Zones</w:t>
            </w:r>
          </w:p>
        </w:tc>
        <w:tc>
          <w:tcPr>
            <w:tcW w:type="dxa" w:w="7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Feat.</w:t>
            </w:r>
          </w:p>
        </w:tc>
        <w:tc>
          <w:tcPr>
            <w:tcW w:type="dxa" w:w="11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Sil. (k=2)</w:t>
            </w:r>
          </w:p>
        </w:tc>
        <w:tc>
          <w:tcPr>
            <w:tcW w:type="dxa" w:w="11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Sil. (k=4)</w:t>
            </w:r>
          </w:p>
        </w:tc>
        <w:tc>
          <w:tcPr>
            <w:tcW w:type="dxa" w:w="18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Split</w:t>
            </w:r>
          </w:p>
        </w:tc>
      </w:tr>
      <w:tr>
        <w:tc>
          <w:tcPr>
            <w:tcW w:type="dxa" w:w="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V1</w:t>
            </w:r>
          </w:p>
        </w:tc>
        <w:tc>
          <w:tcPr>
            <w:tcW w:type="dxa" w:w="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1km</w:t>
            </w:r>
          </w:p>
        </w:tc>
        <w:tc>
          <w:tcPr>
            <w:tcW w:type="dxa" w:w="9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drive</w:t>
            </w:r>
          </w:p>
        </w:tc>
        <w:tc>
          <w:tcPr>
            <w:tcW w:type="dxa" w:w="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469</w:t>
            </w:r>
          </w:p>
        </w:tc>
        <w:tc>
          <w:tcPr>
            <w:tcW w:type="dxa" w:w="7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23</w:t>
            </w:r>
          </w:p>
        </w:tc>
        <w:tc>
          <w:tcPr>
            <w:tcW w:type="dxa" w:w="11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0.366</w:t>
            </w:r>
          </w:p>
        </w:tc>
        <w:tc>
          <w:tcPr>
            <w:tcW w:type="dxa" w:w="11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0.238</w:t>
            </w:r>
          </w:p>
        </w:tc>
        <w:tc>
          <w:tcPr>
            <w:tcW w:type="dxa" w:w="1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57/43</w:t>
            </w:r>
          </w:p>
        </w:tc>
      </w:tr>
      <w:tr>
        <w:tc>
          <w:tcPr>
            <w:tcW w:type="dxa" w:w="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V2</w:t>
            </w:r>
          </w:p>
        </w:tc>
        <w:tc>
          <w:tcPr>
            <w:tcW w:type="dxa" w:w="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1km</w:t>
            </w:r>
          </w:p>
        </w:tc>
        <w:tc>
          <w:tcPr>
            <w:tcW w:type="dxa" w:w="9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all</w:t>
            </w:r>
          </w:p>
        </w:tc>
        <w:tc>
          <w:tcPr>
            <w:tcW w:type="dxa" w:w="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821</w:t>
            </w:r>
          </w:p>
        </w:tc>
        <w:tc>
          <w:tcPr>
            <w:tcW w:type="dxa" w:w="7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27</w:t>
            </w:r>
          </w:p>
        </w:tc>
        <w:tc>
          <w:tcPr>
            <w:tcW w:type="dxa" w:w="11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0.420</w:t>
            </w:r>
          </w:p>
        </w:tc>
        <w:tc>
          <w:tcPr>
            <w:tcW w:type="dxa" w:w="11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0.293</w:t>
            </w:r>
          </w:p>
        </w:tc>
        <w:tc>
          <w:tcPr>
            <w:tcW w:type="dxa" w:w="1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79/21</w:t>
            </w:r>
          </w:p>
        </w:tc>
      </w:tr>
      <w:tr>
        <w:tc>
          <w:tcPr>
            <w:tcW w:type="dxa" w:w="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V3</w:t>
            </w:r>
          </w:p>
        </w:tc>
        <w:tc>
          <w:tcPr>
            <w:tcW w:type="dxa" w:w="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1km</w:t>
            </w:r>
          </w:p>
        </w:tc>
        <w:tc>
          <w:tcPr>
            <w:tcW w:type="dxa" w:w="9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all</w:t>
            </w:r>
          </w:p>
        </w:tc>
        <w:tc>
          <w:tcPr>
            <w:tcW w:type="dxa" w:w="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827</w:t>
            </w:r>
          </w:p>
        </w:tc>
        <w:tc>
          <w:tcPr>
            <w:tcW w:type="dxa" w:w="7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27</w:t>
            </w:r>
          </w:p>
        </w:tc>
        <w:tc>
          <w:tcPr>
            <w:tcW w:type="dxa" w:w="11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0.408</w:t>
            </w:r>
          </w:p>
        </w:tc>
        <w:tc>
          <w:tcPr>
            <w:tcW w:type="dxa" w:w="11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0.284</w:t>
            </w:r>
          </w:p>
        </w:tc>
        <w:tc>
          <w:tcPr>
            <w:tcW w:type="dxa" w:w="1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78/22</w:t>
            </w:r>
          </w:p>
        </w:tc>
      </w:tr>
      <w:tr>
        <w:tc>
          <w:tcPr>
            <w:tcW w:type="dxa" w:w="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V4</w:t>
            </w:r>
          </w:p>
        </w:tc>
        <w:tc>
          <w:tcPr>
            <w:tcW w:type="dxa" w:w="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2km</w:t>
            </w:r>
          </w:p>
        </w:tc>
        <w:tc>
          <w:tcPr>
            <w:tcW w:type="dxa" w:w="9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all</w:t>
            </w:r>
          </w:p>
        </w:tc>
        <w:tc>
          <w:tcPr>
            <w:tcW w:type="dxa" w:w="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226</w:t>
            </w:r>
          </w:p>
        </w:tc>
        <w:tc>
          <w:tcPr>
            <w:tcW w:type="dxa" w:w="7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27</w:t>
            </w:r>
          </w:p>
        </w:tc>
        <w:tc>
          <w:tcPr>
            <w:tcW w:type="dxa" w:w="11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0.551</w:t>
            </w:r>
          </w:p>
        </w:tc>
        <w:tc>
          <w:tcPr>
            <w:tcW w:type="dxa" w:w="11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0.211</w:t>
            </w:r>
          </w:p>
        </w:tc>
        <w:tc>
          <w:tcPr>
            <w:tcW w:type="dxa" w:w="1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91/9</w:t>
            </w:r>
          </w:p>
        </w:tc>
      </w:tr>
    </w:tbl>
    <w:p>
      <w:pPr>
        <w:spacing w:before="80" w:after="0"/>
      </w:pPr>
      <w:r>
        <w:t xml:space="preserve"/>
      </w:r>
    </w:p>
    <w:p>
      <w:pPr>
        <w:spacing w:before="160" w:after="80"/>
        <w:jc w:val="center"/>
      </w:pPr>
      <w:r>
        <w:rPr>
          <w:rFonts w:ascii="Times New Roman" w:cs="Times New Roman" w:eastAsia="Times New Roman" w:hAnsi="Times New Roman"/>
          <w:b w:val="false"/>
          <w:bCs w:val="false"/>
          <w:caps/>
          <w:sz w:val="22"/>
          <w:szCs w:val="22"/>
        </w:rPr>
        <w:t xml:space="preserve">IV. RESULTS: CLUSTERING AUDIT</w:t>
      </w:r>
    </w:p>
    <w:p>
      <w:pPr>
        <w:spacing w:before="120" w:after="60"/>
        <w:jc w:val="left"/>
      </w:pPr>
      <w:r>
        <w:rPr>
          <w:rFonts w:ascii="Times New Roman" w:cs="Times New Roman" w:eastAsia="Times New Roman" w:hAnsi="Times New Roman"/>
          <w:b/>
          <w:bCs/>
          <w:i/>
          <w:iCs/>
          <w:sz w:val="20"/>
          <w:szCs w:val="20"/>
        </w:rPr>
        <w:t xml:space="preserve">A. Persistent Two-Cluster Structure</w:t>
      </w:r>
    </w:p>
    <w:p>
      <w:pPr>
        <w:spacing w:before="0" w:after="100" w:line="276"/>
        <w:ind w:firstLine="400"/>
        <w:jc w:val="both"/>
      </w:pPr>
      <w:r>
        <w:rPr>
          <w:rFonts w:ascii="Times New Roman" w:cs="Times New Roman" w:eastAsia="Times New Roman" w:hAnsi="Times New Roman"/>
          <w:sz w:val="20"/>
          <w:szCs w:val="20"/>
        </w:rPr>
        <w:t xml:space="preserve">K-Means with k = 2 produced the highest silhouette score in all four versions (Table I). K = 4, the originally proposed configuration, scored 25–35% below k = 2 in every version. DBSCAN collapsed to a single cluster at every parameter configuration across all four versions, indicating that the feature space is a continuous distribution rather than a discrete typology. The Calinski-Harabasz criterion independently selected k = 2 in all four versions.</w:t>
      </w:r>
    </w:p>
    <w:p>
      <w:pPr>
        <w:spacing w:before="60" w:after="0"/>
      </w:pPr>
      <w:r>
        <w:t xml:space="preserve"/>
      </w:r>
    </w:p>
    <w:p>
      <w:pPr>
        <w:spacing w:before="0" w:after="100" w:line="276"/>
        <w:ind w:firstLine="400"/>
        <w:jc w:val="both"/>
      </w:pPr>
      <w:r>
        <w:rPr>
          <w:rFonts w:ascii="Times New Roman" w:cs="Times New Roman" w:eastAsia="Times New Roman" w:hAnsi="Times New Roman"/>
          <w:sz w:val="20"/>
          <w:szCs w:val="20"/>
        </w:rPr>
        <w:t xml:space="preserve">The V1→V2 silhouette improvement (+0.054) reflects correction of the OSM coverage confound. The V2→V3 marginal change (−0.012) confirms that archetype label removal had no structural effect. The V3→V4 jump (+0.143) reflects that 2 km cells average enough network to produce a more homogeneous dominant cluster, at the cost of an extreme 91/9 split.</w:t>
      </w:r>
    </w:p>
    <w:p>
      <w:pPr>
        <w:spacing w:before="60" w:after="0"/>
      </w:pPr>
      <w:r>
        <w:t xml:space="preserve"/>
      </w:r>
    </w:p>
    <w:p>
      <w:pPr>
        <w:spacing w:before="120" w:after="60"/>
        <w:jc w:val="left"/>
      </w:pPr>
      <w:r>
        <w:rPr>
          <w:rFonts w:ascii="Times New Roman" w:cs="Times New Roman" w:eastAsia="Times New Roman" w:hAnsi="Times New Roman"/>
          <w:b/>
          <w:bCs/>
          <w:i/>
          <w:iCs/>
          <w:sz w:val="20"/>
          <w:szCs w:val="20"/>
        </w:rPr>
        <w:t xml:space="preserve">B. Cluster Characterisation (V3)</w:t>
      </w:r>
    </w:p>
    <w:p>
      <w:pPr>
        <w:spacing w:before="0" w:after="100" w:line="276"/>
        <w:ind w:firstLine="400"/>
        <w:jc w:val="both"/>
      </w:pPr>
      <w:r>
        <w:rPr>
          <w:rFonts w:ascii="Times New Roman" w:cs="Times New Roman" w:eastAsia="Times New Roman" w:hAnsi="Times New Roman"/>
          <w:sz w:val="20"/>
          <w:szCs w:val="20"/>
        </w:rPr>
        <w:t xml:space="preserve">Table II shows the V3 cluster profiles. The two clusters separate along a connectivity axis: Cluster_0 (18.6% of zones after n ≥30 filter) is a fragmented peripheral fringe with high WCC fragmentation (0.083) and high global efficiency (0.256); Cluster_1 (81.4%) is the dense, continuously connected organic core with low fragmentation (0.020) and low global efficiency (0.108). Both clusters are statistically well-separated (p &lt; 0.001) on connectivity features. Orientation entropy fails to discriminate (gap: 0.054; not significant), confirming that planned vs. organic street geometry is not the primary axis of variation in Dhaka.</w:t>
      </w:r>
    </w:p>
    <w:p>
      <w:pPr>
        <w:spacing w:before="80" w:after="0"/>
      </w:pPr>
      <w:r>
        <w:t xml:space="preserve"/>
      </w:r>
    </w:p>
    <w:p>
      <w:pPr>
        <w:spacing w:before="120" w:after="40"/>
        <w:jc w:val="center"/>
      </w:pPr>
      <w:r>
        <w:rPr>
          <w:rFonts w:ascii="Arial" w:cs="Arial" w:eastAsia="Arial" w:hAnsi="Arial"/>
          <w:b/>
          <w:bCs/>
          <w:caps/>
          <w:sz w:val="18"/>
          <w:szCs w:val="18"/>
        </w:rPr>
        <w:t xml:space="preserve">TABLE II</w:t>
      </w:r>
      <w:r>
        <w:rPr>
          <w:rFonts w:ascii="Arial" w:cs="Arial" w:eastAsia="Arial" w:hAnsi="Arial"/>
          <w:b/>
          <w:bCs/>
          <w:sz w:val="18"/>
          <w:szCs w:val="18"/>
        </w:rPr>
        <w:br/>
        <w:t xml:space="preserve">
V3 Cluster Feature Means (n ≥ 30; Mann–Whitney significance)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0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Feature</w:t>
            </w:r>
          </w:p>
        </w:tc>
        <w:tc>
          <w:tcPr>
            <w:tcW w:type="dxa" w:w="20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Cluster_0</w:t>
            </w:r>
          </w:p>
        </w:tc>
        <w:tc>
          <w:tcPr>
            <w:tcW w:type="dxa" w:w="20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Cluster_1</w:t>
            </w:r>
          </w:p>
        </w:tc>
        <w:tc>
          <w:tcPr>
            <w:tcW w:type="dxa" w:w="20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Sig.</w:t>
            </w:r>
          </w:p>
        </w:tc>
      </w:tr>
      <w:tr>
        <w:tc>
          <w:tcPr>
            <w:tcW w:type="dxa" w:w="3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WCC Fragmentation</w:t>
            </w:r>
          </w:p>
        </w:tc>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0.0832</w:t>
            </w:r>
          </w:p>
        </w:tc>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0.0204</w:t>
            </w:r>
          </w:p>
        </w:tc>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Global Efficiency</w:t>
            </w:r>
          </w:p>
        </w:tc>
        <w:tc>
          <w:tcPr>
            <w:tcW w:type="dxa" w:w="2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0.2559</w:t>
            </w:r>
          </w:p>
        </w:tc>
        <w:tc>
          <w:tcPr>
            <w:tcW w:type="dxa" w:w="2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0.1082</w:t>
            </w:r>
          </w:p>
        </w:tc>
        <w:tc>
          <w:tcPr>
            <w:tcW w:type="dxa" w:w="2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Betweenness Gini</w:t>
            </w:r>
          </w:p>
        </w:tc>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0.5781</w:t>
            </w:r>
          </w:p>
        </w:tc>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0.6749</w:t>
            </w:r>
          </w:p>
        </w:tc>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Transitivity</w:t>
            </w:r>
          </w:p>
        </w:tc>
        <w:tc>
          <w:tcPr>
            <w:tcW w:type="dxa" w:w="2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0.0660</w:t>
            </w:r>
          </w:p>
        </w:tc>
        <w:tc>
          <w:tcPr>
            <w:tcW w:type="dxa" w:w="2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0.0395</w:t>
            </w:r>
          </w:p>
        </w:tc>
        <w:tc>
          <w:tcPr>
            <w:tcW w:type="dxa" w:w="2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Mean Degree</w:t>
            </w:r>
          </w:p>
        </w:tc>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4.1586</w:t>
            </w:r>
          </w:p>
        </w:tc>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4.7853</w:t>
            </w:r>
          </w:p>
        </w:tc>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w:t>
            </w:r>
          </w:p>
        </w:tc>
      </w:tr>
      <w:tr>
        <w:tc>
          <w:tcPr>
            <w:tcW w:type="dxa" w:w="3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Orientation Entropy</w:t>
            </w:r>
          </w:p>
        </w:tc>
        <w:tc>
          <w:tcPr>
            <w:tcW w:type="dxa" w:w="2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3.6334</w:t>
            </w:r>
          </w:p>
        </w:tc>
        <w:tc>
          <w:tcPr>
            <w:tcW w:type="dxa" w:w="2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3.5796</w:t>
            </w:r>
          </w:p>
        </w:tc>
        <w:tc>
          <w:tcPr>
            <w:tcW w:type="dxa" w:w="2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ns</w:t>
            </w:r>
          </w:p>
        </w:tc>
      </w:tr>
      <w:tr>
        <w:tc>
          <w:tcPr>
            <w:tcW w:type="dxa" w:w="3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Zones (n)</w:t>
            </w:r>
          </w:p>
        </w:tc>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147 (18.6%)</w:t>
            </w:r>
          </w:p>
        </w:tc>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643 (81.4%)</w:t>
            </w:r>
          </w:p>
        </w:tc>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
            </w:r>
          </w:p>
        </w:tc>
      </w:tr>
    </w:tbl>
    <w:p>
      <w:pPr>
        <w:spacing w:before="60" w:after="0"/>
      </w:pPr>
      <w:r>
        <w:t xml:space="preserve"/>
      </w:r>
    </w:p>
    <w:p>
      <w:pPr>
        <w:spacing w:before="0" w:after="100" w:line="276"/>
        <w:jc w:val="both"/>
      </w:pPr>
      <w:r>
        <w:rPr>
          <w:rFonts w:ascii="Times New Roman" w:cs="Times New Roman" w:eastAsia="Times New Roman" w:hAnsi="Times New Roman"/>
          <w:sz w:val="20"/>
          <w:szCs w:val="20"/>
        </w:rPr>
        <w:t xml:space="preserve">*** p &lt; 0.001; ns = not significant. All tests: two-sided Mann–Whitney U.</w:t>
      </w:r>
    </w:p>
    <w:p>
      <w:pPr>
        <w:spacing w:before="80" w:after="0"/>
      </w:pPr>
      <w:r>
        <w:t xml:space="preserve"/>
      </w:r>
    </w:p>
    <w:p>
      <w:pPr>
        <w:spacing w:before="120" w:after="60"/>
        <w:jc w:val="left"/>
      </w:pPr>
      <w:r>
        <w:rPr>
          <w:rFonts w:ascii="Times New Roman" w:cs="Times New Roman" w:eastAsia="Times New Roman" w:hAnsi="Times New Roman"/>
          <w:b/>
          <w:bCs/>
          <w:i/>
          <w:iCs/>
          <w:sz w:val="20"/>
          <w:szCs w:val="20"/>
        </w:rPr>
        <w:t xml:space="preserve">C. Geographic Stability</w:t>
      </w:r>
    </w:p>
    <w:p>
      <w:pPr>
        <w:spacing w:before="0" w:after="100" w:line="276"/>
        <w:ind w:firstLine="400"/>
        <w:jc w:val="both"/>
      </w:pPr>
      <w:r>
        <w:rPr>
          <w:rFonts w:ascii="Times New Roman" w:cs="Times New Roman" w:eastAsia="Times New Roman" w:hAnsi="Times New Roman"/>
          <w:sz w:val="20"/>
          <w:szCs w:val="20"/>
        </w:rPr>
        <w:t xml:space="preserve">The cluster boundary is geographically stable across all four versions. The central corridor (23.70–0.85°N, 90.35–90.45°E) — Motijheel, Dhanmondi, Tejgaon — consistently falls in the majority cluster. The periphery (south of 23.70°N, north of 23.90°N, and the western edge at 90.25°E) consistently falls in the minority cluster, co-located with low OSM completeness scores.</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200" w:hRule="exact"/>
        </w:trPr>
        <w:tc>
          <w:tcPr>
            <w:tcW w:type="dxa" w:w="9000"/>
            <w:tcBorders>
              <w:top w:val="single" w:color="AAAAAA" w:sz="6"/>
              <w:left w:val="single" w:color="AAAAAA" w:sz="6"/>
              <w:bottom w:val="single" w:color="AAAAAA" w:sz="6"/>
              <w:right w:val="single" w:color="AAAAAA" w:sz="6"/>
            </w:tcBorders>
            <w:shd w:fill="F0F0F0" w:val="clear"/>
            <w:tcMar>
              <w:top w:type="dxa" w:w="120"/>
              <w:left w:type="dxa" w:w="200"/>
              <w:bottom w:type="dxa" w:w="120"/>
              <w:right w:type="dxa" w:w="200"/>
            </w:tcMar>
          </w:tcPr>
          <w:p>
            <w:pPr>
              <w:jc w:val="center"/>
            </w:pPr>
            <w:r>
              <w:rPr>
                <w:rFonts w:ascii="Arial" w:cs="Arial" w:eastAsia="Arial" w:hAnsi="Arial"/>
                <w:b/>
                <w:bCs/>
                <w:color w:val="888888"/>
                <w:sz w:val="18"/>
                <w:szCs w:val="18"/>
              </w:rPr>
              <w:t xml:space="preserve">[ FIGURE 1 PLACEHOLDER ]</w:t>
            </w:r>
          </w:p>
          <w:p>
            <w:pPr>
              <w:jc w:val="center"/>
            </w:pPr>
            <w:r>
              <w:rPr>
                <w:rFonts w:ascii="Arial" w:cs="Arial" w:eastAsia="Arial" w:hAnsi="Arial"/>
                <w:i/>
                <w:iCs/>
                <w:color w:val="AAAAAA"/>
                <w:sz w:val="16"/>
                <w:szCs w:val="16"/>
              </w:rPr>
              <w:t xml:space="preserve">V3 cluster choropleth map. Red = Cluster_0 (fragmented peripheral). Blue = Cluster_1 (organic core). [Replace with outputs_v3 choropleth PNG]</w:t>
            </w:r>
          </w:p>
        </w:tc>
      </w:tr>
    </w:tbl>
    <w:p>
      <w:pPr>
        <w:spacing w:before="40" w:after="120"/>
        <w:jc w:val="center"/>
      </w:pPr>
      <w:r>
        <w:rPr>
          <w:rFonts w:ascii="Times New Roman" w:cs="Times New Roman" w:eastAsia="Times New Roman" w:hAnsi="Times New Roman"/>
          <w:b/>
          <w:bCs/>
          <w:sz w:val="18"/>
          <w:szCs w:val="18"/>
        </w:rPr>
        <w:t xml:space="preserve">Fig. 1. </w:t>
      </w:r>
      <w:r>
        <w:rPr>
          <w:rFonts w:ascii="Times New Roman" w:cs="Times New Roman" w:eastAsia="Times New Roman" w:hAnsi="Times New Roman"/>
          <w:sz w:val="18"/>
          <w:szCs w:val="18"/>
        </w:rPr>
        <w:t xml:space="preserve">V3 K-Means cluster assignments (k = 2) across 827 zones. The central corridor is consistently Cluster_1 (dense organic core); the peripheral fringe is consistently Cluster_0 (fragmented). Orientation entropy shows no spatial pattern aligned with cluster boundaries.</w:t>
      </w:r>
    </w:p>
    <w:p>
      <w:pPr>
        <w:spacing w:before="80" w:after="0"/>
      </w:pPr>
      <w:r>
        <w:t xml:space="preserve"/>
      </w:r>
    </w:p>
    <w:p>
      <w:pPr>
        <w:spacing w:before="160" w:after="80"/>
        <w:jc w:val="center"/>
      </w:pPr>
      <w:r>
        <w:rPr>
          <w:rFonts w:ascii="Times New Roman" w:cs="Times New Roman" w:eastAsia="Times New Roman" w:hAnsi="Times New Roman"/>
          <w:b w:val="false"/>
          <w:bCs w:val="false"/>
          <w:caps/>
          <w:sz w:val="22"/>
          <w:szCs w:val="22"/>
        </w:rPr>
        <w:t xml:space="preserve">V. GAT PIPELINE: INTERSECTION-LEVEL ANALYSIS</w:t>
      </w:r>
    </w:p>
    <w:p>
      <w:pPr>
        <w:spacing w:before="120" w:after="60"/>
        <w:jc w:val="left"/>
      </w:pPr>
      <w:r>
        <w:rPr>
          <w:rFonts w:ascii="Times New Roman" w:cs="Times New Roman" w:eastAsia="Times New Roman" w:hAnsi="Times New Roman"/>
          <w:b/>
          <w:bCs/>
          <w:i/>
          <w:iCs/>
          <w:sz w:val="20"/>
          <w:szCs w:val="20"/>
        </w:rPr>
        <w:t xml:space="preserve">A. Analytical Framework</w:t>
      </w:r>
    </w:p>
    <w:p>
      <w:pPr>
        <w:spacing w:before="0" w:after="100" w:line="276"/>
        <w:ind w:firstLine="400"/>
        <w:jc w:val="both"/>
      </w:pPr>
      <w:r>
        <w:rPr>
          <w:rFonts w:ascii="Times New Roman" w:cs="Times New Roman" w:eastAsia="Times New Roman" w:hAnsi="Times New Roman"/>
          <w:sz w:val="20"/>
          <w:szCs w:val="20"/>
        </w:rPr>
        <w:t xml:space="preserve">For a network G = (V, E), the betweenness centrality of node v is:</w:t>
      </w:r>
    </w:p>
    <w:p>
      <w:pPr>
        <w:spacing w:before="40" w:after="0"/>
      </w:pPr>
      <w:r>
        <w:t xml:space="preserve"/>
      </w:r>
    </w:p>
    <w:p>
      <w:pPr>
        <w:spacing w:before="0" w:after="60"/>
        <w:jc w:val="center"/>
      </w:pPr>
      <w:r>
        <w:rPr>
          <w:rFonts w:ascii="Courier New" w:cs="Courier New" w:eastAsia="Courier New" w:hAnsi="Courier New"/>
          <w:i/>
          <w:iCs/>
          <w:sz w:val="20"/>
          <w:szCs w:val="20"/>
        </w:rPr>
        <w:t xml:space="preserve">BC(v) = Σ_{s≠v≠t} σ(s,t|v) / σ(s,t)</w:t>
      </w:r>
    </w:p>
    <w:p>
      <w:pPr>
        <w:spacing w:before="0" w:after="100" w:line="276"/>
        <w:ind w:firstLine="400"/>
        <w:jc w:val="both"/>
      </w:pPr>
      <w:r>
        <w:rPr>
          <w:rFonts w:ascii="Times New Roman" w:cs="Times New Roman" w:eastAsia="Times New Roman" w:hAnsi="Times New Roman"/>
          <w:sz w:val="20"/>
          <w:szCs w:val="20"/>
        </w:rPr>
        <w:t xml:space="preserve">where σ(s, t) is the total number of shortest paths from s to t and σ(s, t|v) the number passing through v. BC is computed using the exact Brandes O(n·m) algorithm [8] with road length as edge weight. The term “graph attention” is used in the analytically grounded sense: BC identifies which intersections the network structurally attends to — routing a disproportionate fraction of all shortest paths through a small number of mandatory waypoints.</w:t>
      </w:r>
    </w:p>
    <w:p>
      <w:pPr>
        <w:spacing w:before="60" w:after="0"/>
      </w:pPr>
      <w:r>
        <w:t xml:space="preserve"/>
      </w:r>
    </w:p>
    <w:p>
      <w:pPr>
        <w:spacing w:before="0" w:after="100" w:line="276"/>
        <w:ind w:firstLine="400"/>
        <w:jc w:val="both"/>
      </w:pPr>
      <w:r>
        <w:rPr>
          <w:rFonts w:ascii="Times New Roman" w:cs="Times New Roman" w:eastAsia="Times New Roman" w:hAnsi="Times New Roman"/>
          <w:sz w:val="20"/>
          <w:szCs w:val="20"/>
        </w:rPr>
        <w:t xml:space="preserve">An </w:t>
      </w:r>
      <w:r>
        <w:rPr>
          <w:rFonts w:ascii="Times New Roman" w:cs="Times New Roman" w:eastAsia="Times New Roman" w:hAnsi="Times New Roman"/>
          <w:i/>
          <w:iCs/>
          <w:sz w:val="20"/>
          <w:szCs w:val="20"/>
        </w:rPr>
        <w:t xml:space="preserve">articulation point</w:t>
      </w:r>
      <w:r>
        <w:rPr>
          <w:rFonts w:ascii="Times New Roman" w:cs="Times New Roman" w:eastAsia="Times New Roman" w:hAnsi="Times New Roman"/>
          <w:sz w:val="20"/>
          <w:szCs w:val="20"/>
        </w:rPr>
        <w:t xml:space="preserve"> is a node whose removal increases the number of connected components. Unlike BC (routing concentration), articulation point detection measures existential connectivity risk — nodes whose removal causes network disconnection rather than merely detour.</w:t>
      </w:r>
    </w:p>
    <w:p>
      <w:pPr>
        <w:spacing w:before="60" w:after="0"/>
      </w:pPr>
      <w:r>
        <w:t xml:space="preserve"/>
      </w:r>
    </w:p>
    <w:p>
      <w:pPr>
        <w:spacing w:before="120" w:after="60"/>
        <w:jc w:val="left"/>
      </w:pPr>
      <w:r>
        <w:rPr>
          <w:rFonts w:ascii="Times New Roman" w:cs="Times New Roman" w:eastAsia="Times New Roman" w:hAnsi="Times New Roman"/>
          <w:b/>
          <w:bCs/>
          <w:i/>
          <w:iCs/>
          <w:sz w:val="20"/>
          <w:szCs w:val="20"/>
        </w:rPr>
        <w:t xml:space="preserve">B. Implementation</w:t>
      </w:r>
    </w:p>
    <w:p>
      <w:pPr>
        <w:spacing w:before="0" w:after="100" w:line="276"/>
        <w:ind w:firstLine="400"/>
        <w:jc w:val="both"/>
      </w:pPr>
      <w:r>
        <w:rPr>
          <w:rFonts w:ascii="Times New Roman" w:cs="Times New Roman" w:eastAsia="Times New Roman" w:hAnsi="Times New Roman"/>
          <w:sz w:val="20"/>
          <w:szCs w:val="20"/>
        </w:rPr>
        <w:t xml:space="preserve">For each zone, raw nodes.csv and links.csv from the V3 dataset were loaded into an undirected NetworkX graph with road length as edge weight. Zones with fewer than 30 nodes were excluded (32 zones; BC is not meaningful at very small graph sizes due to boundary effects). Per-zone outputs: (1) exact BC and tier (1–4 by zone-internal percentile) for every intersection; (2) master node identification (highest-BC intersection) with GPS coordinates and OSM node ID; (3) articulation point flags.</w:t>
      </w:r>
    </w:p>
    <w:p>
      <w:pPr>
        <w:spacing w:before="80" w:after="0"/>
      </w:pPr>
      <w:r>
        <w:t xml:space="preserve"/>
      </w:r>
    </w:p>
    <w:p>
      <w:pPr>
        <w:spacing w:before="160" w:after="80"/>
        <w:jc w:val="center"/>
      </w:pPr>
      <w:r>
        <w:rPr>
          <w:rFonts w:ascii="Times New Roman" w:cs="Times New Roman" w:eastAsia="Times New Roman" w:hAnsi="Times New Roman"/>
          <w:b w:val="false"/>
          <w:bCs w:val="false"/>
          <w:caps/>
          <w:sz w:val="22"/>
          <w:szCs w:val="22"/>
        </w:rPr>
        <w:t xml:space="preserve">VI. RESULTS: BETWEENNESS ANALYSIS</w:t>
      </w:r>
    </w:p>
    <w:p>
      <w:pPr>
        <w:spacing w:before="120" w:after="60"/>
        <w:jc w:val="left"/>
      </w:pPr>
      <w:r>
        <w:rPr>
          <w:rFonts w:ascii="Times New Roman" w:cs="Times New Roman" w:eastAsia="Times New Roman" w:hAnsi="Times New Roman"/>
          <w:b/>
          <w:bCs/>
          <w:i/>
          <w:iCs/>
          <w:sz w:val="20"/>
          <w:szCs w:val="20"/>
        </w:rPr>
        <w:t xml:space="preserve">A. City-Wide Statistics</w:t>
      </w:r>
    </w:p>
    <w:p>
      <w:pPr>
        <w:spacing w:before="0" w:after="100" w:line="276"/>
        <w:ind w:firstLine="400"/>
        <w:jc w:val="both"/>
      </w:pPr>
      <w:r>
        <w:rPr>
          <w:rFonts w:ascii="Times New Roman" w:cs="Times New Roman" w:eastAsia="Times New Roman" w:hAnsi="Times New Roman"/>
          <w:sz w:val="20"/>
          <w:szCs w:val="20"/>
        </w:rPr>
        <w:t xml:space="preserve">Across 790 valid zones, the mean maximum BC is 0.380 ± 0.132 (median: 0.374). This indicates that on average, a single intersection controls 38.0% of all optimal routing paths within its zone. Table III provides the full distributional summary.</w:t>
      </w:r>
    </w:p>
    <w:p>
      <w:pPr>
        <w:spacing w:before="80" w:after="0"/>
      </w:pPr>
      <w:r>
        <w:t xml:space="preserve"/>
      </w:r>
    </w:p>
    <w:p>
      <w:pPr>
        <w:spacing w:before="120" w:after="40"/>
        <w:jc w:val="center"/>
      </w:pPr>
      <w:r>
        <w:rPr>
          <w:rFonts w:ascii="Arial" w:cs="Arial" w:eastAsia="Arial" w:hAnsi="Arial"/>
          <w:b/>
          <w:bCs/>
          <w:caps/>
          <w:sz w:val="18"/>
          <w:szCs w:val="18"/>
        </w:rPr>
        <w:t xml:space="preserve">TABLE III</w:t>
      </w:r>
      <w:r>
        <w:rPr>
          <w:rFonts w:ascii="Arial" w:cs="Arial" w:eastAsia="Arial" w:hAnsi="Arial"/>
          <w:b/>
          <w:bCs/>
          <w:sz w:val="18"/>
          <w:szCs w:val="18"/>
        </w:rPr>
        <w:br/>
        <w:t xml:space="preserve">
City-Wide GAT Betweenness Statistics (n = 790 zones, 338,429 nodes)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Metric</w:t>
            </w:r>
          </w:p>
        </w:tc>
        <w:tc>
          <w:tcPr>
            <w:tcW w:type="dxa" w:w="20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Value</w:t>
            </w:r>
          </w:p>
        </w:tc>
        <w:tc>
          <w:tcPr>
            <w:tcW w:type="dxa" w:w="50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Interpretation</w:t>
            </w:r>
          </w:p>
        </w:tc>
      </w:tr>
      <w:tr>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Mean max BC</w:t>
            </w:r>
          </w:p>
        </w:tc>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0.380 ± 0.132</w:t>
            </w:r>
          </w:p>
        </w:tc>
        <w:tc>
          <w:tcPr>
            <w:tcW w:type="dxa" w:w="5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One junction controls ~38% of zone routing on average</w:t>
            </w:r>
          </w:p>
        </w:tc>
      </w:tr>
      <w:tr>
        <w:tc>
          <w:tcPr>
            <w:tcW w:type="dxa" w:w="2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Median max BC</w:t>
            </w:r>
          </w:p>
        </w:tc>
        <w:tc>
          <w:tcPr>
            <w:tcW w:type="dxa" w:w="2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0.374</w:t>
            </w:r>
          </w:p>
        </w:tc>
        <w:tc>
          <w:tcPr>
            <w:tcW w:type="dxa" w:w="5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
            </w:r>
          </w:p>
        </w:tc>
      </w:tr>
      <w:tr>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Max max BC</w:t>
            </w:r>
          </w:p>
        </w:tc>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0.711 (Zone_DH378)</w:t>
            </w:r>
          </w:p>
        </w:tc>
        <w:tc>
          <w:tcPr>
            <w:tcW w:type="dxa" w:w="5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One junction controls 71.1% of all routing</w:t>
            </w:r>
          </w:p>
        </w:tc>
      </w:tr>
      <w:tr>
        <w:tc>
          <w:tcPr>
            <w:tcW w:type="dxa" w:w="2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Zones: max BC &gt; 0.50</w:t>
            </w:r>
          </w:p>
        </w:tc>
        <w:tc>
          <w:tcPr>
            <w:tcW w:type="dxa" w:w="2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178 (22.5%)</w:t>
            </w:r>
          </w:p>
        </w:tc>
        <w:tc>
          <w:tcPr>
            <w:tcW w:type="dxa" w:w="5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Single junction dominates majority of routing</w:t>
            </w:r>
          </w:p>
        </w:tc>
      </w:tr>
      <w:tr>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Zones: max BC &gt; 0.60</w:t>
            </w:r>
          </w:p>
        </w:tc>
        <w:tc>
          <w:tcPr>
            <w:tcW w:type="dxa" w:w="2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34 (4.3%)</w:t>
            </w:r>
          </w:p>
        </w:tc>
        <w:tc>
          <w:tcPr>
            <w:tcW w:type="dxa" w:w="50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Extreme bottleneck — highest-priority targets</w:t>
            </w:r>
          </w:p>
        </w:tc>
      </w:tr>
      <w:tr>
        <w:tc>
          <w:tcPr>
            <w:tcW w:type="dxa" w:w="2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Mean art. points</w:t>
            </w:r>
          </w:p>
        </w:tc>
        <w:tc>
          <w:tcPr>
            <w:tcW w:type="dxa" w:w="2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100.9 per zone</w:t>
            </w:r>
          </w:p>
        </w:tc>
        <w:tc>
          <w:tcPr>
            <w:tcW w:type="dxa" w:w="50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~101 cut vertices per zone on average</w:t>
            </w:r>
          </w:p>
        </w:tc>
      </w:tr>
    </w:tbl>
    <w:p>
      <w:pPr>
        <w:spacing w:before="80" w:after="0"/>
      </w:pPr>
      <w:r>
        <w:t xml:space="preserve"/>
      </w:r>
    </w:p>
    <w:p>
      <w:pPr>
        <w:spacing w:before="120" w:after="60"/>
        <w:jc w:val="left"/>
      </w:pPr>
      <w:r>
        <w:rPr>
          <w:rFonts w:ascii="Times New Roman" w:cs="Times New Roman" w:eastAsia="Times New Roman" w:hAnsi="Times New Roman"/>
          <w:b/>
          <w:bCs/>
          <w:i/>
          <w:iCs/>
          <w:sz w:val="20"/>
          <w:szCs w:val="20"/>
        </w:rPr>
        <w:t xml:space="preserve">B. Cluster Comparison</w:t>
      </w:r>
    </w:p>
    <w:p>
      <w:pPr>
        <w:spacing w:before="0" w:after="100" w:line="276"/>
        <w:ind w:firstLine="400"/>
        <w:jc w:val="both"/>
      </w:pPr>
      <w:r>
        <w:rPr>
          <w:rFonts w:ascii="Times New Roman" w:cs="Times New Roman" w:eastAsia="Times New Roman" w:hAnsi="Times New Roman"/>
          <w:sz w:val="20"/>
          <w:szCs w:val="20"/>
        </w:rPr>
        <w:t xml:space="preserve">Joining GAT outputs to V3 cluster assignments reveals that Cluster_0 (fragmented) has significantly higher maximum BC than Cluster_1 (organic): 0.507 ± 0.100 vs. 0.351 ± 0.120 (Mann–Whitney U = 78,588; p = 3.97 × 10⁻³⁶). This counterintuitive direction is explained by the </w:t>
      </w:r>
      <w:r>
        <w:rPr>
          <w:rFonts w:ascii="Times New Roman" w:cs="Times New Roman" w:eastAsia="Times New Roman" w:hAnsi="Times New Roman"/>
          <w:i/>
          <w:iCs/>
          <w:sz w:val="20"/>
          <w:szCs w:val="20"/>
        </w:rPr>
        <w:t xml:space="preserve">small-graph inflation effect:</w:t>
      </w:r>
      <w:r>
        <w:rPr>
          <w:rFonts w:ascii="Times New Roman" w:cs="Times New Roman" w:eastAsia="Times New Roman" w:hAnsi="Times New Roman"/>
          <w:sz w:val="20"/>
          <w:szCs w:val="20"/>
        </w:rPr>
        <w:t xml:space="preserve"> normalised BC is inherently elevated in small graphs (mean Cluster_0 node count: 51) compared to large continuous networks (mean Cluster_1: 544). Cluster_1 zones have 6.7× more articulation points than Cluster_0 zones (119.9 vs. 17.8; p = 1.49 × 10⁻⁷¹).</w:t>
      </w:r>
    </w:p>
    <w:p>
      <w:pPr>
        <w:spacing w:before="60" w:after="0"/>
      </w:pPr>
      <w:r>
        <w:t xml:space="preserve"/>
      </w:r>
    </w:p>
    <w:p>
      <w:pPr>
        <w:spacing w:before="0" w:after="100" w:line="276"/>
        <w:ind w:firstLine="400"/>
        <w:jc w:val="both"/>
      </w:pPr>
      <w:r>
        <w:rPr>
          <w:rFonts w:ascii="Times New Roman" w:cs="Times New Roman" w:eastAsia="Times New Roman" w:hAnsi="Times New Roman"/>
          <w:sz w:val="20"/>
          <w:szCs w:val="20"/>
        </w:rPr>
        <w:t xml:space="preserve">The Spearman correlation between max BC and articulation point count is r = −0.60 (p &lt; 0.001), revealing two structurally orthogonal fragility dimensions. High-BC zones are vulnerable to targeted disruption of one dominant junction. High-articulation-point zones are vulnerable to random failure at any of many branch roots. The most dangerous policy targets are large Cluster_1 zones with both high BC and many articulation points.</w:t>
      </w:r>
    </w:p>
    <w:p>
      <w:pPr>
        <w:spacing w:before="8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350" w:hRule="exact"/>
        </w:trPr>
        <w:tc>
          <w:tcPr>
            <w:tcW w:type="dxa" w:w="9000"/>
            <w:tcBorders>
              <w:top w:val="single" w:color="AAAAAA" w:sz="6"/>
              <w:left w:val="single" w:color="AAAAAA" w:sz="6"/>
              <w:bottom w:val="single" w:color="AAAAAA" w:sz="6"/>
              <w:right w:val="single" w:color="AAAAAA" w:sz="6"/>
            </w:tcBorders>
            <w:shd w:fill="F0F0F0" w:val="clear"/>
            <w:tcMar>
              <w:top w:type="dxa" w:w="120"/>
              <w:left w:type="dxa" w:w="200"/>
              <w:bottom w:type="dxa" w:w="120"/>
              <w:right w:type="dxa" w:w="200"/>
            </w:tcMar>
          </w:tcPr>
          <w:p>
            <w:pPr>
              <w:jc w:val="center"/>
            </w:pPr>
            <w:r>
              <w:rPr>
                <w:rFonts w:ascii="Arial" w:cs="Arial" w:eastAsia="Arial" w:hAnsi="Arial"/>
                <w:b/>
                <w:bCs/>
                <w:color w:val="888888"/>
                <w:sz w:val="18"/>
                <w:szCs w:val="18"/>
              </w:rPr>
              <w:t xml:space="preserve">[ FIGURE 2 PLACEHOLDER ]</w:t>
            </w:r>
          </w:p>
          <w:p>
            <w:pPr>
              <w:jc w:val="center"/>
            </w:pPr>
            <w:r>
              <w:rPr>
                <w:rFonts w:ascii="Arial" w:cs="Arial" w:eastAsia="Arial" w:hAnsi="Arial"/>
                <w:i/>
                <w:iCs/>
                <w:color w:val="AAAAAA"/>
                <w:sz w:val="16"/>
                <w:szCs w:val="16"/>
              </w:rPr>
              <w:t xml:space="preserve">Three-panel city-wide distribution figure. Left: max_bc histogram (bimodal, peaks ~0.25 and ~0.47). Centre: articulation point count histogram (right-skewed). Right: max_bc vs. art_point_count scatter (negative Spearman r = -0.60, coloured by cluster). [Replace with city_distributions.png]</w:t>
            </w:r>
          </w:p>
        </w:tc>
      </w:tr>
    </w:tbl>
    <w:p>
      <w:pPr>
        <w:spacing w:before="40" w:after="120"/>
        <w:jc w:val="center"/>
      </w:pPr>
      <w:r>
        <w:rPr>
          <w:rFonts w:ascii="Times New Roman" w:cs="Times New Roman" w:eastAsia="Times New Roman" w:hAnsi="Times New Roman"/>
          <w:b/>
          <w:bCs/>
          <w:sz w:val="18"/>
          <w:szCs w:val="18"/>
        </w:rPr>
        <w:t xml:space="preserve">Fig. 2. </w:t>
      </w:r>
      <w:r>
        <w:rPr>
          <w:rFonts w:ascii="Times New Roman" w:cs="Times New Roman" w:eastAsia="Times New Roman" w:hAnsi="Times New Roman"/>
          <w:sz w:val="18"/>
          <w:szCs w:val="18"/>
        </w:rPr>
        <w:t xml:space="preserve">City-wide betweenness distributions (n = 790 zones). (a) Max BC histogram with cluster colouring. (b) Articulation point count distribution. (c) Max BC vs. articulation points scatter: Spearman r = −0.60, p &lt; 0.001, demonstrating two orthogonal fragility dimensions.</w:t>
      </w:r>
    </w:p>
    <w:p>
      <w:pPr>
        <w:spacing w:before="80" w:after="0"/>
      </w:pPr>
      <w:r>
        <w:t xml:space="preserve"/>
      </w:r>
    </w:p>
    <w:p>
      <w:pPr>
        <w:spacing w:before="120" w:after="60"/>
        <w:jc w:val="left"/>
      </w:pPr>
      <w:r>
        <w:rPr>
          <w:rFonts w:ascii="Times New Roman" w:cs="Times New Roman" w:eastAsia="Times New Roman" w:hAnsi="Times New Roman"/>
          <w:b/>
          <w:bCs/>
          <w:i/>
          <w:iCs/>
          <w:sz w:val="20"/>
          <w:szCs w:val="20"/>
        </w:rPr>
        <w:t xml:space="preserve">C. Correlation Analysis</w:t>
      </w:r>
    </w:p>
    <w:p>
      <w:pPr>
        <w:spacing w:before="0" w:after="100" w:line="276"/>
        <w:ind w:firstLine="400"/>
        <w:jc w:val="both"/>
      </w:pPr>
      <w:r>
        <w:rPr>
          <w:rFonts w:ascii="Times New Roman" w:cs="Times New Roman" w:eastAsia="Times New Roman" w:hAnsi="Times New Roman"/>
          <w:sz w:val="20"/>
          <w:szCs w:val="20"/>
        </w:rPr>
        <w:t xml:space="preserve">Table IV shows Spearman correlations between maximum BC and V3 topological features. The strongest predictor is mean betweenness centrality (r = +0.75), followed by node count (r = −0.71), confirming that zone size drives apparent BC concentration. The most analytically significant result is the last row: orientation entropy has r = +0.02 (p = 0.584), demonstrating that street morphological character has no predictive relationship with routing vulnerability.</w:t>
      </w:r>
    </w:p>
    <w:p>
      <w:pPr>
        <w:spacing w:before="80" w:after="0"/>
      </w:pPr>
      <w:r>
        <w:t xml:space="preserve"/>
      </w:r>
    </w:p>
    <w:p>
      <w:pPr>
        <w:spacing w:before="120" w:after="40"/>
        <w:jc w:val="center"/>
      </w:pPr>
      <w:r>
        <w:rPr>
          <w:rFonts w:ascii="Arial" w:cs="Arial" w:eastAsia="Arial" w:hAnsi="Arial"/>
          <w:b/>
          <w:bCs/>
          <w:caps/>
          <w:sz w:val="18"/>
          <w:szCs w:val="18"/>
        </w:rPr>
        <w:t xml:space="preserve">TABLE IV</w:t>
      </w:r>
      <w:r>
        <w:rPr>
          <w:rFonts w:ascii="Arial" w:cs="Arial" w:eastAsia="Arial" w:hAnsi="Arial"/>
          <w:b/>
          <w:bCs/>
          <w:sz w:val="18"/>
          <w:szCs w:val="18"/>
        </w:rPr>
        <w:br/>
        <w:t xml:space="preserve">
Spearman Correlations: Maximum BC vs. V3 Topological Features (n = 790)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5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Feature</w:t>
            </w:r>
          </w:p>
        </w:tc>
        <w:tc>
          <w:tcPr>
            <w:tcW w:type="dxa" w:w="15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Spearman r</w:t>
            </w:r>
          </w:p>
        </w:tc>
        <w:tc>
          <w:tcPr>
            <w:tcW w:type="dxa" w:w="15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Direction</w:t>
            </w:r>
          </w:p>
        </w:tc>
        <w:tc>
          <w:tcPr>
            <w:tcW w:type="dxa" w:w="25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p-value</w:t>
            </w:r>
          </w:p>
        </w:tc>
      </w:tr>
      <w:tr>
        <w:tc>
          <w:tcPr>
            <w:tcW w:type="dxa" w:w="3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Mean Betweenness Centrality</w:t>
            </w:r>
          </w:p>
        </w:tc>
        <w:tc>
          <w:tcPr>
            <w:tcW w:type="dxa" w:w="1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+0.752</w:t>
            </w:r>
          </w:p>
        </w:tc>
        <w:tc>
          <w:tcPr>
            <w:tcW w:type="dxa" w:w="1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Positive</w:t>
            </w:r>
          </w:p>
        </w:tc>
        <w:tc>
          <w:tcPr>
            <w:tcW w:type="dxa" w:w="2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&lt; 0.001</w:t>
            </w:r>
          </w:p>
        </w:tc>
      </w:tr>
      <w:tr>
        <w:tc>
          <w:tcPr>
            <w:tcW w:type="dxa" w:w="3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Node Count</w:t>
            </w:r>
          </w:p>
        </w:tc>
        <w:tc>
          <w:tcPr>
            <w:tcW w:type="dxa" w:w="1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−0.705</w:t>
            </w:r>
          </w:p>
        </w:tc>
        <w:tc>
          <w:tcPr>
            <w:tcW w:type="dxa" w:w="1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Negative</w:t>
            </w:r>
          </w:p>
        </w:tc>
        <w:tc>
          <w:tcPr>
            <w:tcW w:type="dxa" w:w="2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&lt; 0.001</w:t>
            </w:r>
          </w:p>
        </w:tc>
      </w:tr>
      <w:tr>
        <w:tc>
          <w:tcPr>
            <w:tcW w:type="dxa" w:w="3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Network Density</w:t>
            </w:r>
          </w:p>
        </w:tc>
        <w:tc>
          <w:tcPr>
            <w:tcW w:type="dxa" w:w="1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+0.689</w:t>
            </w:r>
          </w:p>
        </w:tc>
        <w:tc>
          <w:tcPr>
            <w:tcW w:type="dxa" w:w="1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Positive</w:t>
            </w:r>
          </w:p>
        </w:tc>
        <w:tc>
          <w:tcPr>
            <w:tcW w:type="dxa" w:w="2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&lt; 0.001</w:t>
            </w:r>
          </w:p>
        </w:tc>
      </w:tr>
      <w:tr>
        <w:tc>
          <w:tcPr>
            <w:tcW w:type="dxa" w:w="3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Global Efficiency</w:t>
            </w:r>
          </w:p>
        </w:tc>
        <w:tc>
          <w:tcPr>
            <w:tcW w:type="dxa" w:w="1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+0.650</w:t>
            </w:r>
          </w:p>
        </w:tc>
        <w:tc>
          <w:tcPr>
            <w:tcW w:type="dxa" w:w="1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Positive</w:t>
            </w:r>
          </w:p>
        </w:tc>
        <w:tc>
          <w:tcPr>
            <w:tcW w:type="dxa" w:w="2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&lt; 0.001</w:t>
            </w:r>
          </w:p>
        </w:tc>
      </w:tr>
      <w:tr>
        <w:tc>
          <w:tcPr>
            <w:tcW w:type="dxa" w:w="3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WCC Fragmentation</w:t>
            </w:r>
          </w:p>
        </w:tc>
        <w:tc>
          <w:tcPr>
            <w:tcW w:type="dxa" w:w="1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+0.634</w:t>
            </w:r>
          </w:p>
        </w:tc>
        <w:tc>
          <w:tcPr>
            <w:tcW w:type="dxa" w:w="1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Positive</w:t>
            </w:r>
          </w:p>
        </w:tc>
        <w:tc>
          <w:tcPr>
            <w:tcW w:type="dxa" w:w="2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&lt; 0.001</w:t>
            </w:r>
          </w:p>
        </w:tc>
      </w:tr>
      <w:tr>
        <w:tc>
          <w:tcPr>
            <w:tcW w:type="dxa" w:w="3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Articulation Points</w:t>
            </w:r>
          </w:p>
        </w:tc>
        <w:tc>
          <w:tcPr>
            <w:tcW w:type="dxa" w:w="1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−0.604</w:t>
            </w:r>
          </w:p>
        </w:tc>
        <w:tc>
          <w:tcPr>
            <w:tcW w:type="dxa" w:w="1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Negative</w:t>
            </w:r>
          </w:p>
        </w:tc>
        <w:tc>
          <w:tcPr>
            <w:tcW w:type="dxa" w:w="2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&lt; 0.001</w:t>
            </w:r>
          </w:p>
        </w:tc>
      </w:tr>
      <w:tr>
        <w:tc>
          <w:tcPr>
            <w:tcW w:type="dxa" w:w="3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Path Length P90 (norm)</w:t>
            </w:r>
          </w:p>
        </w:tc>
        <w:tc>
          <w:tcPr>
            <w:tcW w:type="dxa" w:w="1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+0.588</w:t>
            </w:r>
          </w:p>
        </w:tc>
        <w:tc>
          <w:tcPr>
            <w:tcW w:type="dxa" w:w="1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Positive</w:t>
            </w:r>
          </w:p>
        </w:tc>
        <w:tc>
          <w:tcPr>
            <w:tcW w:type="dxa" w:w="2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&lt; 0.001</w:t>
            </w:r>
          </w:p>
        </w:tc>
      </w:tr>
      <w:tr>
        <w:tc>
          <w:tcPr>
            <w:tcW w:type="dxa" w:w="3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Mean Degree</w:t>
            </w:r>
          </w:p>
        </w:tc>
        <w:tc>
          <w:tcPr>
            <w:tcW w:type="dxa" w:w="1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−0.511</w:t>
            </w:r>
          </w:p>
        </w:tc>
        <w:tc>
          <w:tcPr>
            <w:tcW w:type="dxa" w:w="1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Negative</w:t>
            </w:r>
          </w:p>
        </w:tc>
        <w:tc>
          <w:tcPr>
            <w:tcW w:type="dxa" w:w="2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&lt; 0.001</w:t>
            </w:r>
          </w:p>
        </w:tc>
      </w:tr>
      <w:tr>
        <w:tc>
          <w:tcPr>
            <w:tcW w:type="dxa" w:w="3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Betweenness Gini</w:t>
            </w:r>
          </w:p>
        </w:tc>
        <w:tc>
          <w:tcPr>
            <w:tcW w:type="dxa" w:w="1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−0.220</w:t>
            </w:r>
          </w:p>
        </w:tc>
        <w:tc>
          <w:tcPr>
            <w:tcW w:type="dxa" w:w="1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Negative</w:t>
            </w:r>
          </w:p>
        </w:tc>
        <w:tc>
          <w:tcPr>
            <w:tcW w:type="dxa" w:w="25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&lt; 0.001</w:t>
            </w:r>
          </w:p>
        </w:tc>
      </w:tr>
      <w:tr>
        <w:tc>
          <w:tcPr>
            <w:tcW w:type="dxa" w:w="3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Orientation Entropy</w:t>
            </w:r>
          </w:p>
        </w:tc>
        <w:tc>
          <w:tcPr>
            <w:tcW w:type="dxa" w:w="1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+0.020</w:t>
            </w:r>
          </w:p>
        </w:tc>
        <w:tc>
          <w:tcPr>
            <w:tcW w:type="dxa" w:w="1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None</w:t>
            </w:r>
          </w:p>
        </w:tc>
        <w:tc>
          <w:tcPr>
            <w:tcW w:type="dxa" w:w="25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0.584 (ns)</w:t>
            </w:r>
          </w:p>
        </w:tc>
      </w:tr>
    </w:tbl>
    <w:p>
      <w:pPr>
        <w:spacing w:before="80" w:after="0"/>
      </w:pPr>
      <w:r>
        <w:t xml:space="preserve"/>
      </w:r>
    </w:p>
    <w:p>
      <w:pPr>
        <w:spacing w:before="120" w:after="60"/>
        <w:jc w:val="left"/>
      </w:pPr>
      <w:r>
        <w:rPr>
          <w:rFonts w:ascii="Times New Roman" w:cs="Times New Roman" w:eastAsia="Times New Roman" w:hAnsi="Times New Roman"/>
          <w:b/>
          <w:bCs/>
          <w:i/>
          <w:iCs/>
          <w:sz w:val="20"/>
          <w:szCs w:val="20"/>
        </w:rPr>
        <w:t xml:space="preserve">D. Geographic Pattern of Vulnerability</w:t>
      </w:r>
    </w:p>
    <w:p>
      <w:pPr>
        <w:spacing w:before="0" w:after="100" w:line="276"/>
        <w:ind w:firstLine="400"/>
        <w:jc w:val="both"/>
      </w:pPr>
      <w:r>
        <w:rPr>
          <w:rFonts w:ascii="Times New Roman" w:cs="Times New Roman" w:eastAsia="Times New Roman" w:hAnsi="Times New Roman"/>
          <w:sz w:val="20"/>
          <w:szCs w:val="20"/>
        </w:rPr>
        <w:t xml:space="preserve">The city-wide master node map (Fig. 3) reveals that structural fragility is concentrated at the urban periphery, not the historically dense core. The longitudinal central spine (90.35–90.40°E), encompassing Dhanmondi–Tejgaon–Motijheel, has the lowest mean max BC (0.330) and lowest Cluster_0 concentration (9%) of any longitudinal band. The far eastern fringe (90.45–90.48°E) has the highest mean max BC (0.441) with 29% Cluster_0 penetration. Latitudinally, the southern fringe (23.65–23.70°N) has the highest mean max BC (0.427) and the highest Cluster_0 share (31%). This pattern inverts the conventional planning assumption that population density predicts structural vulnerability.</w:t>
      </w:r>
    </w:p>
    <w:p>
      <w:pPr>
        <w:spacing w:before="60" w:after="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500" w:hRule="exact"/>
        </w:trPr>
        <w:tc>
          <w:tcPr>
            <w:tcW w:type="dxa" w:w="9000"/>
            <w:tcBorders>
              <w:top w:val="single" w:color="AAAAAA" w:sz="6"/>
              <w:left w:val="single" w:color="AAAAAA" w:sz="6"/>
              <w:bottom w:val="single" w:color="AAAAAA" w:sz="6"/>
              <w:right w:val="single" w:color="AAAAAA" w:sz="6"/>
            </w:tcBorders>
            <w:shd w:fill="F0F0F0" w:val="clear"/>
            <w:tcMar>
              <w:top w:type="dxa" w:w="120"/>
              <w:left w:type="dxa" w:w="200"/>
              <w:bottom w:type="dxa" w:w="120"/>
              <w:right w:type="dxa" w:w="200"/>
            </w:tcMar>
          </w:tcPr>
          <w:p>
            <w:pPr>
              <w:jc w:val="center"/>
            </w:pPr>
            <w:r>
              <w:rPr>
                <w:rFonts w:ascii="Arial" w:cs="Arial" w:eastAsia="Arial" w:hAnsi="Arial"/>
                <w:b/>
                <w:bCs/>
                <w:color w:val="888888"/>
                <w:sz w:val="18"/>
                <w:szCs w:val="18"/>
              </w:rPr>
              <w:t xml:space="preserve">[ FIGURE 3 PLACEHOLDER ]</w:t>
            </w:r>
          </w:p>
          <w:p>
            <w:pPr>
              <w:jc w:val="center"/>
            </w:pPr>
            <w:r>
              <w:rPr>
                <w:rFonts w:ascii="Arial" w:cs="Arial" w:eastAsia="Arial" w:hAnsi="Arial"/>
                <w:i/>
                <w:iCs/>
                <w:color w:val="AAAAAA"/>
                <w:sz w:val="16"/>
                <w:szCs w:val="16"/>
              </w:rPr>
              <w:t xml:space="preserve">City-wide master node map. Each dot = one zone’s highest-BC intersection. Size and colour = max_bc value (dark = low, bright red = high). Spatial concentration in north-east corridor and south/west fringe visible. [Replace with city_master_nodes.png]</w:t>
            </w:r>
          </w:p>
        </w:tc>
      </w:tr>
    </w:tbl>
    <w:p>
      <w:pPr>
        <w:spacing w:before="40" w:after="120"/>
        <w:jc w:val="center"/>
      </w:pPr>
      <w:r>
        <w:rPr>
          <w:rFonts w:ascii="Times New Roman" w:cs="Times New Roman" w:eastAsia="Times New Roman" w:hAnsi="Times New Roman"/>
          <w:b/>
          <w:bCs/>
          <w:sz w:val="18"/>
          <w:szCs w:val="18"/>
        </w:rPr>
        <w:t xml:space="preserve">Fig. 3. </w:t>
      </w:r>
      <w:r>
        <w:rPr>
          <w:rFonts w:ascii="Times New Roman" w:cs="Times New Roman" w:eastAsia="Times New Roman" w:hAnsi="Times New Roman"/>
          <w:sz w:val="18"/>
          <w:szCs w:val="18"/>
        </w:rPr>
        <w:t xml:space="preserve">City-wide map of master nodes (highest-BC intersection per zone), scaled by max BC. The central spine (Dhanmondi–Motijheel–Tejgaon) shows moderate BC; the north-east fringe and southern periphery exhibit the highest concentrations.</w:t>
      </w:r>
    </w:p>
    <w:p>
      <w:pPr>
        <w:spacing w:before="80" w:after="0"/>
      </w:pPr>
      <w:r>
        <w:t xml:space="preserve"/>
      </w:r>
    </w:p>
    <w:p>
      <w:pPr>
        <w:spacing w:before="120" w:after="60"/>
        <w:jc w:val="left"/>
      </w:pPr>
      <w:r>
        <w:rPr>
          <w:rFonts w:ascii="Times New Roman" w:cs="Times New Roman" w:eastAsia="Times New Roman" w:hAnsi="Times New Roman"/>
          <w:b/>
          <w:bCs/>
          <w:i/>
          <w:iCs/>
          <w:sz w:val="20"/>
          <w:szCs w:val="20"/>
        </w:rPr>
        <w:t xml:space="preserve">E. Primary Case Study: Zone_DH547</w:t>
      </w:r>
    </w:p>
    <w:p>
      <w:pPr>
        <w:spacing w:before="0" w:after="100" w:line="276"/>
        <w:ind w:firstLine="400"/>
        <w:jc w:val="both"/>
      </w:pPr>
      <w:r>
        <w:rPr>
          <w:rFonts w:ascii="Times New Roman" w:cs="Times New Roman" w:eastAsia="Times New Roman" w:hAnsi="Times New Roman"/>
          <w:sz w:val="20"/>
          <w:szCs w:val="20"/>
        </w:rPr>
        <w:t xml:space="preserve">Zone_DH547 (Mirpur-Kafrul corridor; 23.849°N, 90.395°E) exemplifies the TCGA framework’s value. It is classified as Cluster_1 (organic, 242 nodes, continuously connected), and its master node (OSM ID locatable at 23.842°N, 90.387°E) exhibits max BC = 0.609. Unlike the top-BC zones which are small Cluster_0 sub-graphs, Zone_DH547 is large enough that small-graph inflation cannot account for this value: one real intersection mediates 60.9% of all optimal routing in a 242-intersection network. The zone also contains 57 articulation points, making it doubly vulnerable. Targeted infrastructure duplication at the master node (a secondary lane connection or alternative access road) would reduce its BC from 0.609 to near zero.</w:t>
      </w:r>
    </w:p>
    <w:p>
      <w:pPr>
        <w:spacing w:before="80" w:after="0"/>
      </w:pPr>
      <w:r>
        <w:t xml:space="preserve"/>
      </w:r>
    </w:p>
    <w:p>
      <w:pPr>
        <w:spacing w:before="160" w:after="80"/>
        <w:jc w:val="center"/>
      </w:pPr>
      <w:r>
        <w:rPr>
          <w:rFonts w:ascii="Times New Roman" w:cs="Times New Roman" w:eastAsia="Times New Roman" w:hAnsi="Times New Roman"/>
          <w:b w:val="false"/>
          <w:bCs w:val="false"/>
          <w:caps/>
          <w:sz w:val="22"/>
          <w:szCs w:val="22"/>
        </w:rPr>
        <w:t xml:space="preserve">VII. TCGA FRAMEWORK SYNTHESIS</w:t>
      </w:r>
    </w:p>
    <w:p>
      <w:pPr>
        <w:spacing w:before="120" w:after="60"/>
        <w:jc w:val="left"/>
      </w:pPr>
      <w:r>
        <w:rPr>
          <w:rFonts w:ascii="Times New Roman" w:cs="Times New Roman" w:eastAsia="Times New Roman" w:hAnsi="Times New Roman"/>
          <w:b/>
          <w:bCs/>
          <w:i/>
          <w:iCs/>
          <w:sz w:val="20"/>
          <w:szCs w:val="20"/>
        </w:rPr>
        <w:t xml:space="preserve">A. Why Neither Stage Alone Is Sufficient</w:t>
      </w:r>
    </w:p>
    <w:p>
      <w:pPr>
        <w:spacing w:before="0" w:after="100" w:line="276"/>
        <w:ind w:firstLine="400"/>
        <w:jc w:val="both"/>
      </w:pPr>
      <w:r>
        <w:rPr>
          <w:rFonts w:ascii="Times New Roman" w:cs="Times New Roman" w:eastAsia="Times New Roman" w:hAnsi="Times New Roman"/>
          <w:sz w:val="20"/>
          <w:szCs w:val="20"/>
        </w:rPr>
        <w:t xml:space="preserve">V3 alone identifies morphological cluster membership but cannot locate the specific bottleneck intersection within each zone. GAT alone computes intersection-level BC scores but cannot adjust for the structural context that determines whether those scores represent genuine vulnerability or small-graph inflation. The conjunction — TCGA — provides both simultaneously through three steps:</w:t>
      </w:r>
      <w:r>
        <w:rPr>
          <w:rFonts w:ascii="Times New Roman" w:cs="Times New Roman" w:eastAsia="Times New Roman" w:hAnsi="Times New Roman"/>
          <w:b/>
          <w:bCs/>
          <w:sz w:val="20"/>
          <w:szCs w:val="20"/>
        </w:rPr>
        <w:t xml:space="preserve"> (1)</w:t>
      </w:r>
      <w:r>
        <w:rPr>
          <w:rFonts w:ascii="Times New Roman" w:cs="Times New Roman" w:eastAsia="Times New Roman" w:hAnsi="Times New Roman"/>
          <w:sz w:val="20"/>
          <w:szCs w:val="20"/>
        </w:rPr>
        <w:t xml:space="preserve"> morphological typing (V3 cluster assignment);</w:t>
      </w:r>
      <w:r>
        <w:rPr>
          <w:rFonts w:ascii="Times New Roman" w:cs="Times New Roman" w:eastAsia="Times New Roman" w:hAnsi="Times New Roman"/>
          <w:b/>
          <w:bCs/>
          <w:sz w:val="20"/>
          <w:szCs w:val="20"/>
        </w:rPr>
        <w:t xml:space="preserve"> (2)</w:t>
      </w:r>
      <w:r>
        <w:rPr>
          <w:rFonts w:ascii="Times New Roman" w:cs="Times New Roman" w:eastAsia="Times New Roman" w:hAnsi="Times New Roman"/>
          <w:sz w:val="20"/>
          <w:szCs w:val="20"/>
        </w:rPr>
        <w:t xml:space="preserve"> raw BC computation (GAT);</w:t>
      </w:r>
      <w:r>
        <w:rPr>
          <w:rFonts w:ascii="Times New Roman" w:cs="Times New Roman" w:eastAsia="Times New Roman" w:hAnsi="Times New Roman"/>
          <w:b/>
          <w:bCs/>
          <w:sz w:val="20"/>
          <w:szCs w:val="20"/>
        </w:rPr>
        <w:t xml:space="preserve"> (3)</w:t>
      </w:r>
      <w:r>
        <w:rPr>
          <w:rFonts w:ascii="Times New Roman" w:cs="Times New Roman" w:eastAsia="Times New Roman" w:hAnsi="Times New Roman"/>
          <w:sz w:val="20"/>
          <w:szCs w:val="20"/>
        </w:rPr>
        <w:t xml:space="preserve"> size-and-context-adjusted ranking (BC′ = BC×cluster_weight/√n) producing a city-wide priority queue of specific, GPS-locatable intersections.</w:t>
      </w:r>
    </w:p>
    <w:p>
      <w:pPr>
        <w:spacing w:before="60" w:after="0"/>
      </w:pPr>
      <w:r>
        <w:t xml:space="preserve"/>
      </w:r>
    </w:p>
    <w:p>
      <w:pPr>
        <w:spacing w:before="120" w:after="60"/>
        <w:jc w:val="left"/>
      </w:pPr>
      <w:r>
        <w:rPr>
          <w:rFonts w:ascii="Times New Roman" w:cs="Times New Roman" w:eastAsia="Times New Roman" w:hAnsi="Times New Roman"/>
          <w:b/>
          <w:bCs/>
          <w:i/>
          <w:iCs/>
          <w:sz w:val="20"/>
          <w:szCs w:val="20"/>
        </w:rPr>
        <w:t xml:space="preserve">B. Policy Tier Structure</w:t>
      </w:r>
    </w:p>
    <w:p>
      <w:pPr>
        <w:spacing w:before="0" w:after="100" w:line="276"/>
        <w:jc w:val="both"/>
      </w:pPr>
      <w:r>
        <w:rPr>
          <w:rFonts w:ascii="Times New Roman" w:cs="Times New Roman" w:eastAsia="Times New Roman" w:hAnsi="Times New Roman"/>
          <w:b/>
          <w:bCs/>
          <w:i/>
          <w:iCs/>
          <w:sz w:val="20"/>
          <w:szCs w:val="20"/>
        </w:rPr>
        <w:t xml:space="preserve">Tier A — Structural intervention:</w:t>
      </w:r>
      <w:r>
        <w:rPr>
          <w:rFonts w:ascii="Times New Roman" w:cs="Times New Roman" w:eastAsia="Times New Roman" w:hAnsi="Times New Roman"/>
          <w:sz w:val="20"/>
          <w:szCs w:val="20"/>
        </w:rPr>
        <w:t xml:space="preserve"> Large Cluster_1 zones with max BC &gt; 0.60 (10 zones; Table V). These are the highest-priority targets for new access roads or intersection duplication. Zone_DH547 is the archetype.</w:t>
      </w:r>
    </w:p>
    <w:p>
      <w:pPr>
        <w:spacing w:before="40" w:after="0"/>
      </w:pPr>
      <w:r>
        <w:t xml:space="preserve"/>
      </w:r>
    </w:p>
    <w:p>
      <w:pPr>
        <w:spacing w:before="0" w:after="100" w:line="276"/>
        <w:jc w:val="both"/>
      </w:pPr>
      <w:r>
        <w:rPr>
          <w:rFonts w:ascii="Times New Roman" w:cs="Times New Roman" w:eastAsia="Times New Roman" w:hAnsi="Times New Roman"/>
          <w:b/>
          <w:bCs/>
          <w:i/>
          <w:iCs/>
          <w:sz w:val="20"/>
          <w:szCs w:val="20"/>
        </w:rPr>
        <w:t xml:space="preserve">Tier B — Connectivity completion:</w:t>
      </w:r>
      <w:r>
        <w:rPr>
          <w:rFonts w:ascii="Times New Roman" w:cs="Times New Roman" w:eastAsia="Times New Roman" w:hAnsi="Times New Roman"/>
          <w:sz w:val="20"/>
          <w:szCs w:val="20"/>
        </w:rPr>
        <w:t xml:space="preserve"> Cluster_0 zones with high wcc_fragmentation. Infrastructure need is new link roads to connect isolated sub-graphs, not intersection improvements.</w:t>
      </w:r>
    </w:p>
    <w:p>
      <w:pPr>
        <w:spacing w:before="40" w:after="0"/>
      </w:pPr>
      <w:r>
        <w:t xml:space="preserve"/>
      </w:r>
    </w:p>
    <w:p>
      <w:pPr>
        <w:spacing w:before="0" w:after="100" w:line="276"/>
        <w:jc w:val="both"/>
      </w:pPr>
      <w:r>
        <w:rPr>
          <w:rFonts w:ascii="Times New Roman" w:cs="Times New Roman" w:eastAsia="Times New Roman" w:hAnsi="Times New Roman"/>
          <w:b/>
          <w:bCs/>
          <w:i/>
          <w:iCs/>
          <w:sz w:val="20"/>
          <w:szCs w:val="20"/>
        </w:rPr>
        <w:t xml:space="preserve">Tier C — Traffic management:</w:t>
      </w:r>
      <w:r>
        <w:rPr>
          <w:rFonts w:ascii="Times New Roman" w:cs="Times New Roman" w:eastAsia="Times New Roman" w:hAnsi="Times New Roman"/>
          <w:sz w:val="20"/>
          <w:szCs w:val="20"/>
        </w:rPr>
        <w:t xml:space="preserve"> The 178 zones with 0.50 &lt; BC &lt; 0.60. Signal optimisation, turn restrictions, and event routing protocols can reduce effective BC without capital investment.</w:t>
      </w:r>
    </w:p>
    <w:p>
      <w:pPr>
        <w:spacing w:before="80" w:after="0"/>
      </w:pPr>
      <w:r>
        <w:t xml:space="preserve"/>
      </w:r>
    </w:p>
    <w:p>
      <w:pPr>
        <w:spacing w:before="120" w:after="40"/>
        <w:jc w:val="center"/>
      </w:pPr>
      <w:r>
        <w:rPr>
          <w:rFonts w:ascii="Arial" w:cs="Arial" w:eastAsia="Arial" w:hAnsi="Arial"/>
          <w:b/>
          <w:bCs/>
          <w:caps/>
          <w:sz w:val="18"/>
          <w:szCs w:val="18"/>
        </w:rPr>
        <w:t xml:space="preserve">TABLE V</w:t>
      </w:r>
      <w:r>
        <w:rPr>
          <w:rFonts w:ascii="Arial" w:cs="Arial" w:eastAsia="Arial" w:hAnsi="Arial"/>
          <w:b/>
          <w:bCs/>
          <w:sz w:val="18"/>
          <w:szCs w:val="18"/>
        </w:rPr>
        <w:br/>
        <w:t xml:space="preserve">
Top Cluster_1 Zones by Maximum BC (Genuine Structural Bottlenecks, n ≥ 30)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8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Zone ID</w:t>
            </w:r>
          </w:p>
        </w:tc>
        <w:tc>
          <w:tcPr>
            <w:tcW w:type="dxa" w:w="13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Max BC</w:t>
            </w:r>
          </w:p>
        </w:tc>
        <w:tc>
          <w:tcPr>
            <w:tcW w:type="dxa" w:w="12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Nodes</w:t>
            </w:r>
          </w:p>
        </w:tc>
        <w:tc>
          <w:tcPr>
            <w:tcW w:type="dxa" w:w="13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Art. Pts</w:t>
            </w:r>
          </w:p>
        </w:tc>
        <w:tc>
          <w:tcPr>
            <w:tcW w:type="dxa" w:w="16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Lat °N</w:t>
            </w:r>
          </w:p>
        </w:tc>
        <w:tc>
          <w:tcPr>
            <w:tcW w:type="dxa" w:w="1800"/>
            <w:tcBorders>
              <w:top w:val="single" w:color="000000" w:sz="6"/>
              <w:left w:val="none" w:color="FFFFFF" w:sz="0"/>
              <w:bottom w:val="single" w:color="000000" w:sz="6"/>
              <w:right w:val="none" w:color="FFFFFF" w:sz="0"/>
            </w:tcBorders>
            <w:shd w:fill="DDDDDD" w:val="clear"/>
            <w:tcMar>
              <w:top w:type="dxa" w:w="60"/>
              <w:left w:type="dxa" w:w="100"/>
              <w:bottom w:type="dxa" w:w="60"/>
              <w:right w:type="dxa" w:w="100"/>
            </w:tcMar>
          </w:tcPr>
          <w:p>
            <w:pPr>
              <w:jc w:val="center"/>
            </w:pPr>
            <w:r>
              <w:rPr>
                <w:rFonts w:ascii="Times New Roman" w:cs="Times New Roman" w:eastAsia="Times New Roman" w:hAnsi="Times New Roman"/>
                <w:b/>
                <w:bCs/>
                <w:sz w:val="18"/>
                <w:szCs w:val="18"/>
              </w:rPr>
              <w:t xml:space="preserve">Lon °E</w:t>
            </w:r>
          </w:p>
        </w:tc>
      </w:tr>
      <w:tr>
        <w:tc>
          <w:tcPr>
            <w:tcW w:type="dxa" w:w="1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Zone_DH860</w:t>
            </w:r>
          </w:p>
        </w:tc>
        <w:tc>
          <w:tcPr>
            <w:tcW w:type="dxa" w:w="13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0.705</w:t>
            </w:r>
          </w:p>
        </w:tc>
        <w:tc>
          <w:tcPr>
            <w:tcW w:type="dxa" w:w="12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96</w:t>
            </w:r>
          </w:p>
        </w:tc>
        <w:tc>
          <w:tcPr>
            <w:tcW w:type="dxa" w:w="13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41</w:t>
            </w:r>
          </w:p>
        </w:tc>
        <w:tc>
          <w:tcPr>
            <w:tcW w:type="dxa" w:w="16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23.835</w:t>
            </w:r>
          </w:p>
        </w:tc>
        <w:tc>
          <w:tcPr>
            <w:tcW w:type="dxa" w:w="1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90.475</w:t>
            </w:r>
          </w:p>
        </w:tc>
      </w:tr>
      <w:tr>
        <w:tc>
          <w:tcPr>
            <w:tcW w:type="dxa" w:w="1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Zone_DH801</w:t>
            </w:r>
          </w:p>
        </w:tc>
        <w:tc>
          <w:tcPr>
            <w:tcW w:type="dxa" w:w="13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0.671</w:t>
            </w:r>
          </w:p>
        </w:tc>
        <w:tc>
          <w:tcPr>
            <w:tcW w:type="dxa" w:w="12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70</w:t>
            </w:r>
          </w:p>
        </w:tc>
        <w:tc>
          <w:tcPr>
            <w:tcW w:type="dxa" w:w="13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27</w:t>
            </w:r>
          </w:p>
        </w:tc>
        <w:tc>
          <w:tcPr>
            <w:tcW w:type="dxa" w:w="16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23.929</w:t>
            </w:r>
          </w:p>
        </w:tc>
        <w:tc>
          <w:tcPr>
            <w:tcW w:type="dxa" w:w="1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90.462</w:t>
            </w:r>
          </w:p>
        </w:tc>
      </w:tr>
      <w:tr>
        <w:tc>
          <w:tcPr>
            <w:tcW w:type="dxa" w:w="1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Zone_DH816</w:t>
            </w:r>
          </w:p>
        </w:tc>
        <w:tc>
          <w:tcPr>
            <w:tcW w:type="dxa" w:w="13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0.649</w:t>
            </w:r>
          </w:p>
        </w:tc>
        <w:tc>
          <w:tcPr>
            <w:tcW w:type="dxa" w:w="12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68</w:t>
            </w:r>
          </w:p>
        </w:tc>
        <w:tc>
          <w:tcPr>
            <w:tcW w:type="dxa" w:w="13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37</w:t>
            </w:r>
          </w:p>
        </w:tc>
        <w:tc>
          <w:tcPr>
            <w:tcW w:type="dxa" w:w="16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23.750</w:t>
            </w:r>
          </w:p>
        </w:tc>
        <w:tc>
          <w:tcPr>
            <w:tcW w:type="dxa" w:w="1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90.471</w:t>
            </w:r>
          </w:p>
        </w:tc>
      </w:tr>
      <w:tr>
        <w:tc>
          <w:tcPr>
            <w:tcW w:type="dxa" w:w="1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Zone_DH779</w:t>
            </w:r>
          </w:p>
        </w:tc>
        <w:tc>
          <w:tcPr>
            <w:tcW w:type="dxa" w:w="13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0.642</w:t>
            </w:r>
          </w:p>
        </w:tc>
        <w:tc>
          <w:tcPr>
            <w:tcW w:type="dxa" w:w="12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174</w:t>
            </w:r>
          </w:p>
        </w:tc>
        <w:tc>
          <w:tcPr>
            <w:tcW w:type="dxa" w:w="13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73</w:t>
            </w:r>
          </w:p>
        </w:tc>
        <w:tc>
          <w:tcPr>
            <w:tcW w:type="dxa" w:w="16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23.732</w:t>
            </w:r>
          </w:p>
        </w:tc>
        <w:tc>
          <w:tcPr>
            <w:tcW w:type="dxa" w:w="1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90.464</w:t>
            </w:r>
          </w:p>
        </w:tc>
      </w:tr>
      <w:tr>
        <w:tc>
          <w:tcPr>
            <w:tcW w:type="dxa" w:w="1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Zone_DH387</w:t>
            </w:r>
          </w:p>
        </w:tc>
        <w:tc>
          <w:tcPr>
            <w:tcW w:type="dxa" w:w="13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0.627</w:t>
            </w:r>
          </w:p>
        </w:tc>
        <w:tc>
          <w:tcPr>
            <w:tcW w:type="dxa" w:w="12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107</w:t>
            </w:r>
          </w:p>
        </w:tc>
        <w:tc>
          <w:tcPr>
            <w:tcW w:type="dxa" w:w="13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40</w:t>
            </w:r>
          </w:p>
        </w:tc>
        <w:tc>
          <w:tcPr>
            <w:tcW w:type="dxa" w:w="16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23.664</w:t>
            </w:r>
          </w:p>
        </w:tc>
        <w:tc>
          <w:tcPr>
            <w:tcW w:type="dxa" w:w="1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90.361</w:t>
            </w:r>
          </w:p>
        </w:tc>
      </w:tr>
      <w:tr>
        <w:tc>
          <w:tcPr>
            <w:tcW w:type="dxa" w:w="1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Zone_DH761</w:t>
            </w:r>
          </w:p>
        </w:tc>
        <w:tc>
          <w:tcPr>
            <w:tcW w:type="dxa" w:w="13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0.623</w:t>
            </w:r>
          </w:p>
        </w:tc>
        <w:tc>
          <w:tcPr>
            <w:tcW w:type="dxa" w:w="12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128</w:t>
            </w:r>
          </w:p>
        </w:tc>
        <w:tc>
          <w:tcPr>
            <w:tcW w:type="dxa" w:w="13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62</w:t>
            </w:r>
          </w:p>
        </w:tc>
        <w:tc>
          <w:tcPr>
            <w:tcW w:type="dxa" w:w="16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23.883</w:t>
            </w:r>
          </w:p>
        </w:tc>
        <w:tc>
          <w:tcPr>
            <w:tcW w:type="dxa" w:w="1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90.449</w:t>
            </w:r>
          </w:p>
        </w:tc>
      </w:tr>
      <w:tr>
        <w:tc>
          <w:tcPr>
            <w:tcW w:type="dxa" w:w="1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Zone_DH380</w:t>
            </w:r>
          </w:p>
        </w:tc>
        <w:tc>
          <w:tcPr>
            <w:tcW w:type="dxa" w:w="13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0.610</w:t>
            </w:r>
          </w:p>
        </w:tc>
        <w:tc>
          <w:tcPr>
            <w:tcW w:type="dxa" w:w="12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84</w:t>
            </w:r>
          </w:p>
        </w:tc>
        <w:tc>
          <w:tcPr>
            <w:tcW w:type="dxa" w:w="13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25</w:t>
            </w:r>
          </w:p>
        </w:tc>
        <w:tc>
          <w:tcPr>
            <w:tcW w:type="dxa" w:w="16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23.916</w:t>
            </w:r>
          </w:p>
        </w:tc>
        <w:tc>
          <w:tcPr>
            <w:tcW w:type="dxa" w:w="1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90.353</w:t>
            </w:r>
          </w:p>
        </w:tc>
      </w:tr>
      <w:tr>
        <w:tc>
          <w:tcPr>
            <w:tcW w:type="dxa" w:w="1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Zone_DH547*</w:t>
            </w:r>
          </w:p>
        </w:tc>
        <w:tc>
          <w:tcPr>
            <w:tcW w:type="dxa" w:w="13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0.609</w:t>
            </w:r>
          </w:p>
        </w:tc>
        <w:tc>
          <w:tcPr>
            <w:tcW w:type="dxa" w:w="12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242</w:t>
            </w:r>
          </w:p>
        </w:tc>
        <w:tc>
          <w:tcPr>
            <w:tcW w:type="dxa" w:w="13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57</w:t>
            </w:r>
          </w:p>
        </w:tc>
        <w:tc>
          <w:tcPr>
            <w:tcW w:type="dxa" w:w="16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23.849</w:t>
            </w:r>
          </w:p>
        </w:tc>
        <w:tc>
          <w:tcPr>
            <w:tcW w:type="dxa" w:w="1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90.395</w:t>
            </w:r>
          </w:p>
        </w:tc>
      </w:tr>
      <w:tr>
        <w:tc>
          <w:tcPr>
            <w:tcW w:type="dxa" w:w="1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Zone_DH189</w:t>
            </w:r>
          </w:p>
        </w:tc>
        <w:tc>
          <w:tcPr>
            <w:tcW w:type="dxa" w:w="13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0.604</w:t>
            </w:r>
          </w:p>
        </w:tc>
        <w:tc>
          <w:tcPr>
            <w:tcW w:type="dxa" w:w="12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139</w:t>
            </w:r>
          </w:p>
        </w:tc>
        <w:tc>
          <w:tcPr>
            <w:tcW w:type="dxa" w:w="13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37</w:t>
            </w:r>
          </w:p>
        </w:tc>
        <w:tc>
          <w:tcPr>
            <w:tcW w:type="dxa" w:w="16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23.773</w:t>
            </w:r>
          </w:p>
        </w:tc>
        <w:tc>
          <w:tcPr>
            <w:tcW w:type="dxa" w:w="1800"/>
            <w:tcBorders>
              <w:top w:val="single" w:color="AAAAAA" w:sz="4"/>
              <w:left w:val="single" w:color="AAAAAA" w:sz="4"/>
              <w:bottom w:val="single" w:color="AAAAAA" w:sz="4"/>
              <w:right w:val="single" w:color="AAAAAA" w:sz="4"/>
            </w:tcBorders>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90.302</w:t>
            </w:r>
          </w:p>
        </w:tc>
      </w:tr>
      <w:tr>
        <w:tc>
          <w:tcPr>
            <w:tcW w:type="dxa" w:w="1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Zone_DH080</w:t>
            </w:r>
          </w:p>
        </w:tc>
        <w:tc>
          <w:tcPr>
            <w:tcW w:type="dxa" w:w="13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0.601</w:t>
            </w:r>
          </w:p>
        </w:tc>
        <w:tc>
          <w:tcPr>
            <w:tcW w:type="dxa" w:w="12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93</w:t>
            </w:r>
          </w:p>
        </w:tc>
        <w:tc>
          <w:tcPr>
            <w:tcW w:type="dxa" w:w="13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30</w:t>
            </w:r>
          </w:p>
        </w:tc>
        <w:tc>
          <w:tcPr>
            <w:tcW w:type="dxa" w:w="16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23.737</w:t>
            </w:r>
          </w:p>
        </w:tc>
        <w:tc>
          <w:tcPr>
            <w:tcW w:type="dxa" w:w="1800"/>
            <w:tcBorders>
              <w:top w:val="single" w:color="AAAAAA" w:sz="4"/>
              <w:left w:val="single" w:color="AAAAAA" w:sz="4"/>
              <w:bottom w:val="single" w:color="AAAAAA" w:sz="4"/>
              <w:right w:val="single" w:color="AAAAAA" w:sz="4"/>
            </w:tcBorders>
            <w:shd w:fill="F5F5F5" w:val="clear"/>
            <w:tcMar>
              <w:top w:type="dxa" w:w="50"/>
              <w:left w:type="dxa" w:w="100"/>
              <w:bottom w:type="dxa" w:w="50"/>
              <w:right w:type="dxa" w:w="100"/>
            </w:tcMar>
          </w:tcPr>
          <w:p>
            <w:pPr>
              <w:jc w:val="left"/>
            </w:pPr>
            <w:r>
              <w:rPr>
                <w:rFonts w:ascii="Times New Roman" w:cs="Times New Roman" w:eastAsia="Times New Roman" w:hAnsi="Times New Roman"/>
                <w:b w:val="false"/>
                <w:bCs w:val="false"/>
                <w:sz w:val="18"/>
                <w:szCs w:val="18"/>
              </w:rPr>
              <w:t xml:space="preserve">90.277</w:t>
            </w:r>
          </w:p>
        </w:tc>
      </w:tr>
    </w:tbl>
    <w:p>
      <w:pPr>
        <w:spacing w:before="60" w:after="0"/>
      </w:pPr>
      <w:r>
        <w:t xml:space="preserve"/>
      </w:r>
    </w:p>
    <w:p>
      <w:pPr>
        <w:spacing w:before="0" w:after="100" w:line="276"/>
        <w:jc w:val="both"/>
      </w:pPr>
      <w:r>
        <w:rPr>
          <w:rFonts w:ascii="Times New Roman" w:cs="Times New Roman" w:eastAsia="Times New Roman" w:hAnsi="Times New Roman"/>
          <w:sz w:val="20"/>
          <w:szCs w:val="20"/>
        </w:rPr>
        <w:t xml:space="preserve">*Primary case study (see Section VI-E). Largest network with BC &gt; 0.60; strongest evidence against small-graph inflation.</w:t>
      </w:r>
    </w:p>
    <w:p>
      <w:pPr>
        <w:spacing w:before="80" w:after="0"/>
      </w:pPr>
      <w:r>
        <w:t xml:space="preserve"/>
      </w:r>
    </w:p>
    <w:p>
      <w:pPr>
        <w:spacing w:before="160" w:after="80"/>
        <w:jc w:val="center"/>
      </w:pPr>
      <w:r>
        <w:rPr>
          <w:rFonts w:ascii="Times New Roman" w:cs="Times New Roman" w:eastAsia="Times New Roman" w:hAnsi="Times New Roman"/>
          <w:b w:val="false"/>
          <w:bCs w:val="false"/>
          <w:caps/>
          <w:sz w:val="22"/>
          <w:szCs w:val="22"/>
        </w:rPr>
        <w:t xml:space="preserve">VIII. DISCUSSION</w:t>
      </w:r>
    </w:p>
    <w:p>
      <w:pPr>
        <w:spacing w:before="120" w:after="60"/>
        <w:jc w:val="left"/>
      </w:pPr>
      <w:r>
        <w:rPr>
          <w:rFonts w:ascii="Times New Roman" w:cs="Times New Roman" w:eastAsia="Times New Roman" w:hAnsi="Times New Roman"/>
          <w:b/>
          <w:bCs/>
          <w:i/>
          <w:iCs/>
          <w:sz w:val="20"/>
          <w:szCs w:val="20"/>
        </w:rPr>
        <w:t xml:space="preserve">A. Dhaka’s Connectivity Spectrum</w:t>
      </w:r>
    </w:p>
    <w:p>
      <w:pPr>
        <w:spacing w:before="0" w:after="100" w:line="276"/>
        <w:ind w:firstLine="400"/>
        <w:jc w:val="both"/>
      </w:pPr>
      <w:r>
        <w:rPr>
          <w:rFonts w:ascii="Times New Roman" w:cs="Times New Roman" w:eastAsia="Times New Roman" w:hAnsi="Times New Roman"/>
          <w:sz w:val="20"/>
          <w:szCs w:val="20"/>
        </w:rPr>
        <w:t xml:space="preserve">The DBSCAN failure (single cluster across all versions and all parameter configurations) is as informative as the K-Means result. It confirms that Dhaka’s zones occupy a continuous distribution in feature space, not discrete clumps. The persistent k = 2 K-Means result represents an optimal binary split of this spectrum, not the detection of two genuinely distinct morphological populations. This is consistent with Revi et al.’s [4] characterisation of South Asian megacity road networks as historical palimpsests producing continuous gradients rather than discrete zones.</w:t>
      </w:r>
    </w:p>
    <w:p>
      <w:pPr>
        <w:spacing w:before="60" w:after="0"/>
      </w:pPr>
      <w:r>
        <w:t xml:space="preserve"/>
      </w:r>
    </w:p>
    <w:p>
      <w:pPr>
        <w:spacing w:before="120" w:after="60"/>
        <w:jc w:val="left"/>
      </w:pPr>
      <w:r>
        <w:rPr>
          <w:rFonts w:ascii="Times New Roman" w:cs="Times New Roman" w:eastAsia="Times New Roman" w:hAnsi="Times New Roman"/>
          <w:b/>
          <w:bCs/>
          <w:i/>
          <w:iCs/>
          <w:sz w:val="20"/>
          <w:szCs w:val="20"/>
        </w:rPr>
        <w:t xml:space="preserve">B. The Orientation Entropy Failure</w:t>
      </w:r>
    </w:p>
    <w:p>
      <w:pPr>
        <w:spacing w:before="0" w:after="100" w:line="276"/>
        <w:ind w:firstLine="400"/>
        <w:jc w:val="both"/>
      </w:pPr>
      <w:r>
        <w:rPr>
          <w:rFonts w:ascii="Times New Roman" w:cs="Times New Roman" w:eastAsia="Times New Roman" w:hAnsi="Times New Roman"/>
          <w:sz w:val="20"/>
          <w:szCs w:val="20"/>
        </w:rPr>
        <w:t xml:space="preserve">Boeing [5] demonstrated orientation entropy’s power as a planned/organic discriminator in 100 global cities. Its failure in Dhaka (gap: 0.020; p = ns in V3; r = 0.02 vs. max BC in GAT) is not a methodological error but a finding: in Dhaka, organic informal lanes following irregular historical land-parcel boundaries produce moderate entropy comparable to the lake-perimeter curvature of planned zones like Dhanmondi. The feature space overlap is not noise — it is the geometric signature of interleaved morphological logics at the block scale.</w:t>
      </w:r>
    </w:p>
    <w:p>
      <w:pPr>
        <w:spacing w:before="60" w:after="0"/>
      </w:pPr>
      <w:r>
        <w:t xml:space="preserve"/>
      </w:r>
    </w:p>
    <w:p>
      <w:pPr>
        <w:spacing w:before="120" w:after="60"/>
        <w:jc w:val="left"/>
      </w:pPr>
      <w:r>
        <w:rPr>
          <w:rFonts w:ascii="Times New Roman" w:cs="Times New Roman" w:eastAsia="Times New Roman" w:hAnsi="Times New Roman"/>
          <w:b/>
          <w:bCs/>
          <w:i/>
          <w:iCs/>
          <w:sz w:val="20"/>
          <w:szCs w:val="20"/>
        </w:rPr>
        <w:t xml:space="preserve">C. The Peripheral Fragility Paradox</w:t>
      </w:r>
    </w:p>
    <w:p>
      <w:pPr>
        <w:spacing w:before="0" w:after="100" w:line="276"/>
        <w:ind w:firstLine="400"/>
        <w:jc w:val="both"/>
      </w:pPr>
      <w:r>
        <w:rPr>
          <w:rFonts w:ascii="Times New Roman" w:cs="Times New Roman" w:eastAsia="Times New Roman" w:hAnsi="Times New Roman"/>
          <w:sz w:val="20"/>
          <w:szCs w:val="20"/>
        </w:rPr>
        <w:t xml:space="preserve">The concentration of structural vulnerability at the urban periphery (not the historic core) inverts standard planning intuitions. Old Dhaka’s apparent chaos conceals a highly redundant network: centuries of incremental densification have produced overlapping routes at every scale. Peripheral zones, which appear more orderly on satellite imagery (fewer but wider roads), are organised as trees: each branch connects through one root junction that becomes the master node with extreme BC. This is a generalisation of the classic “bridge road” problem in rural network design [6], now occurring in rapidly urbanising megacity fringe zones at the 1 km scale.</w:t>
      </w:r>
    </w:p>
    <w:p>
      <w:pPr>
        <w:spacing w:before="80" w:after="0"/>
      </w:pPr>
      <w:r>
        <w:t xml:space="preserve"/>
      </w:r>
    </w:p>
    <w:p>
      <w:pPr>
        <w:spacing w:before="160" w:after="80"/>
        <w:jc w:val="center"/>
      </w:pPr>
      <w:r>
        <w:rPr>
          <w:rFonts w:ascii="Times New Roman" w:cs="Times New Roman" w:eastAsia="Times New Roman" w:hAnsi="Times New Roman"/>
          <w:b w:val="false"/>
          <w:bCs w:val="false"/>
          <w:caps/>
          <w:sz w:val="22"/>
          <w:szCs w:val="22"/>
        </w:rPr>
        <w:t xml:space="preserve">IX. LIMITATIONS</w:t>
      </w:r>
    </w:p>
    <w:p>
      <w:pPr>
        <w:spacing w:before="0" w:after="100" w:line="276"/>
        <w:ind w:firstLine="400"/>
        <w:jc w:val="both"/>
      </w:pPr>
      <w:r>
        <w:rPr>
          <w:rFonts w:ascii="Times New Roman" w:cs="Times New Roman" w:eastAsia="Times New Roman" w:hAnsi="Times New Roman"/>
          <w:sz w:val="20"/>
          <w:szCs w:val="20"/>
        </w:rPr>
        <w:t xml:space="preserve">Three primary limitations apply. </w:t>
      </w:r>
      <w:r>
        <w:rPr>
          <w:rFonts w:ascii="Times New Roman" w:cs="Times New Roman" w:eastAsia="Times New Roman" w:hAnsi="Times New Roman"/>
          <w:b/>
          <w:bCs/>
          <w:sz w:val="20"/>
          <w:szCs w:val="20"/>
        </w:rPr>
        <w:t xml:space="preserve">(1) Zone boundary effects:</w:t>
      </w:r>
      <w:r>
        <w:rPr>
          <w:rFonts w:ascii="Times New Roman" w:cs="Times New Roman" w:eastAsia="Times New Roman" w:hAnsi="Times New Roman"/>
          <w:sz w:val="20"/>
          <w:szCs w:val="20"/>
        </w:rPr>
        <w:t xml:space="preserve"> each zone is analysed as an independent subgraph; cross-zone routing is not modelled. </w:t>
      </w:r>
      <w:r>
        <w:rPr>
          <w:rFonts w:ascii="Times New Roman" w:cs="Times New Roman" w:eastAsia="Times New Roman" w:hAnsi="Times New Roman"/>
          <w:b/>
          <w:bCs/>
          <w:sz w:val="20"/>
          <w:szCs w:val="20"/>
        </w:rPr>
        <w:t xml:space="preserve">(2) Small-graph inflation:</w:t>
      </w:r>
      <w:r>
        <w:rPr>
          <w:rFonts w:ascii="Times New Roman" w:cs="Times New Roman" w:eastAsia="Times New Roman" w:hAnsi="Times New Roman"/>
          <w:sz w:val="20"/>
          <w:szCs w:val="20"/>
        </w:rPr>
        <w:t xml:space="preserve"> normalised BC is inflated in small graphs; size-normalised BC′ = BC×√n should be applied before city-wide ranking. </w:t>
      </w:r>
      <w:r>
        <w:rPr>
          <w:rFonts w:ascii="Times New Roman" w:cs="Times New Roman" w:eastAsia="Times New Roman" w:hAnsi="Times New Roman"/>
          <w:b/>
          <w:bCs/>
          <w:sz w:val="20"/>
          <w:szCs w:val="20"/>
        </w:rPr>
        <w:t xml:space="preserve">(3) Static snapshot:</w:t>
      </w:r>
      <w:r>
        <w:rPr>
          <w:rFonts w:ascii="Times New Roman" w:cs="Times New Roman" w:eastAsia="Times New Roman" w:hAnsi="Times New Roman"/>
          <w:sz w:val="20"/>
          <w:szCs w:val="20"/>
        </w:rPr>
        <w:t xml:space="preserve"> the analysis reflects the 2025 OSM network; Dhaka’s rapid infrastructure evolution (Metro Line 6, Elevated Expressway) will alter BC rankings.</w:t>
      </w:r>
    </w:p>
    <w:p>
      <w:pPr>
        <w:spacing w:before="80" w:after="0"/>
      </w:pPr>
      <w:r>
        <w:t xml:space="preserve"/>
      </w:r>
    </w:p>
    <w:p>
      <w:pPr>
        <w:spacing w:before="160" w:after="80"/>
        <w:jc w:val="center"/>
      </w:pPr>
      <w:r>
        <w:rPr>
          <w:rFonts w:ascii="Times New Roman" w:cs="Times New Roman" w:eastAsia="Times New Roman" w:hAnsi="Times New Roman"/>
          <w:b w:val="false"/>
          <w:bCs w:val="false"/>
          <w:caps/>
          <w:sz w:val="22"/>
          <w:szCs w:val="22"/>
        </w:rPr>
        <w:t xml:space="preserve">X. CONCLUSION</w:t>
      </w:r>
    </w:p>
    <w:p>
      <w:pPr>
        <w:spacing w:before="0" w:after="100" w:line="276"/>
        <w:ind w:firstLine="400"/>
        <w:jc w:val="both"/>
      </w:pPr>
      <w:r>
        <w:rPr>
          <w:rFonts w:ascii="Times New Roman" w:cs="Times New Roman" w:eastAsia="Times New Roman" w:hAnsi="Times New Roman"/>
          <w:sz w:val="20"/>
          <w:szCs w:val="20"/>
        </w:rPr>
        <w:t xml:space="preserve">This paper presented a two-stage, data-driven framework for intra-urban transport policy targeting in Dhaka, Bangladesh. The V1–V4 audit established that Dhaka’s road network organises along a single connectivity axis (silhouette 0.366–0.551 for k = 2; DBSCAN consistently collapsed) rather than discrete morphological archetypes. The GAT extension operationalised these findings at the intersection level: across 790 zones and 338,429 intersections, the mean maximum BC is 0.380; orientation entropy is statistically independent of BC concentration (r = 0.02; p = 0.58); and structural fragility is spatially concentrated at the urban periphery.</w:t>
      </w:r>
    </w:p>
    <w:p>
      <w:pPr>
        <w:spacing w:before="60" w:after="0"/>
      </w:pPr>
      <w:r>
        <w:t xml:space="preserve"/>
      </w:r>
    </w:p>
    <w:p>
      <w:pPr>
        <w:spacing w:before="0" w:after="100" w:line="276"/>
        <w:ind w:firstLine="400"/>
        <w:jc w:val="both"/>
      </w:pPr>
      <w:r>
        <w:rPr>
          <w:rFonts w:ascii="Times New Roman" w:cs="Times New Roman" w:eastAsia="Times New Roman" w:hAnsi="Times New Roman"/>
          <w:sz w:val="20"/>
          <w:szCs w:val="20"/>
        </w:rPr>
        <w:t xml:space="preserve">The TCGA conjunction of V3 morphological typing and GAT betweenness analysis produces a city-wide, GPS-locatable bottleneck ranking that is impossible to derive from either stage alone. The highest-priority structural targets are identified with exact OSM node IDs and GPS coordinates, providing directly actionable intelligence for RAJUK infrastructure planning. Future work will apply size-normalised BC scoring, integrate origin-destination demand data, and extend the pipeline to comparative South Asian cities.</w:t>
      </w:r>
    </w:p>
    <w:p>
      <w:pPr>
        <w:spacing w:before="80" w:after="0"/>
      </w:pPr>
      <w:r>
        <w:t xml:space="preserve"/>
      </w:r>
    </w:p>
    <w:p>
      <w:pPr>
        <w:spacing w:before="160" w:after="80"/>
        <w:jc w:val="center"/>
      </w:pPr>
      <w:r>
        <w:rPr>
          <w:rFonts w:ascii="Times New Roman" w:cs="Times New Roman" w:eastAsia="Times New Roman" w:hAnsi="Times New Roman"/>
          <w:b w:val="false"/>
          <w:bCs w:val="false"/>
          <w:caps/>
          <w:sz w:val="22"/>
          <w:szCs w:val="22"/>
        </w:rPr>
        <w:t xml:space="preserve">. REFERENCES</w:t>
      </w:r>
    </w:p>
    <w:p>
      <w:pPr>
        <w:spacing w:before="40" w:after="0"/>
      </w:pPr>
      <w:r>
        <w:t xml:space="preserve"/>
      </w:r>
    </w:p>
    <w:p>
      <w:pPr>
        <w:spacing w:before="0" w:after="50" w:line="240"/>
        <w:ind w:left="360" w:hanging="360"/>
      </w:pPr>
      <w:r>
        <w:rPr>
          <w:rFonts w:ascii="Times New Roman" w:cs="Times New Roman" w:eastAsia="Times New Roman" w:hAnsi="Times New Roman"/>
          <w:sz w:val="18"/>
          <w:szCs w:val="18"/>
        </w:rPr>
        <w:t xml:space="preserve">[1] S. Porta, P. Crucitti, and V. Latora, “The network analysis of urban streets: A primal approach,” Environ. Plan. B, vol. 33, no. 5, pp. 705–725, 2006.</w:t>
      </w:r>
    </w:p>
    <w:p>
      <w:pPr>
        <w:spacing w:before="0" w:after="50" w:line="240"/>
        <w:ind w:left="360" w:hanging="360"/>
      </w:pPr>
      <w:r>
        <w:rPr>
          <w:rFonts w:ascii="Times New Roman" w:cs="Times New Roman" w:eastAsia="Times New Roman" w:hAnsi="Times New Roman"/>
          <w:sz w:val="18"/>
          <w:szCs w:val="18"/>
        </w:rPr>
        <w:t xml:space="preserve">[2] B. Jiang and C. Claramunt, “Topological analysis of urban street networks,” Environ. Plan. B, vol. 31, no. 1, pp. 151–162, 2004.</w:t>
      </w:r>
    </w:p>
    <w:p>
      <w:pPr>
        <w:spacing w:before="0" w:after="50" w:line="240"/>
        <w:ind w:left="360" w:hanging="360"/>
      </w:pPr>
      <w:r>
        <w:rPr>
          <w:rFonts w:ascii="Times New Roman" w:cs="Times New Roman" w:eastAsia="Times New Roman" w:hAnsi="Times New Roman"/>
          <w:sz w:val="18"/>
          <w:szCs w:val="18"/>
        </w:rPr>
        <w:t xml:space="preserve">[3] N. Islam, Dhaka Now: Contemporary Urban Development. Dhaka: Bangladesh Geographical Society, 2005.</w:t>
      </w:r>
    </w:p>
    <w:p>
      <w:pPr>
        <w:spacing w:before="0" w:after="50" w:line="240"/>
        <w:ind w:left="360" w:hanging="360"/>
      </w:pPr>
      <w:r>
        <w:rPr>
          <w:rFonts w:ascii="Times New Roman" w:cs="Times New Roman" w:eastAsia="Times New Roman" w:hAnsi="Times New Roman"/>
          <w:sz w:val="18"/>
          <w:szCs w:val="18"/>
        </w:rPr>
        <w:t xml:space="preserve">[4] A. Revi et al., “A rapid assessment of the impact of climate change on cities,” Environ. Urbanization, vol. 23, no. 2, pp. 369–388, 2011.</w:t>
      </w:r>
    </w:p>
    <w:p>
      <w:pPr>
        <w:spacing w:before="0" w:after="50" w:line="240"/>
        <w:ind w:left="360" w:hanging="360"/>
      </w:pPr>
      <w:r>
        <w:rPr>
          <w:rFonts w:ascii="Times New Roman" w:cs="Times New Roman" w:eastAsia="Times New Roman" w:hAnsi="Times New Roman"/>
          <w:sz w:val="18"/>
          <w:szCs w:val="18"/>
        </w:rPr>
        <w:t xml:space="preserve">[5] G. Boeing, “Urban spatial order: Street network orientation, configuration, and entropy,” Appl. Netw. Sci., vol. 4, no. 1, p. 67, 2019.</w:t>
      </w:r>
    </w:p>
    <w:p>
      <w:pPr>
        <w:spacing w:before="0" w:after="50" w:line="240"/>
        <w:ind w:left="360" w:hanging="360"/>
      </w:pPr>
      <w:r>
        <w:rPr>
          <w:rFonts w:ascii="Times New Roman" w:cs="Times New Roman" w:eastAsia="Times New Roman" w:hAnsi="Times New Roman"/>
          <w:sz w:val="18"/>
          <w:szCs w:val="18"/>
        </w:rPr>
        <w:t xml:space="preserve">[6] M. Barthélemy, “Spatial networks,” Phys. Rep., vol. 499, no. 1–3, pp. 1–101, 2011.</w:t>
      </w:r>
    </w:p>
    <w:p>
      <w:pPr>
        <w:spacing w:before="0" w:after="50" w:line="240"/>
        <w:ind w:left="360" w:hanging="360"/>
      </w:pPr>
      <w:r>
        <w:rPr>
          <w:rFonts w:ascii="Times New Roman" w:cs="Times New Roman" w:eastAsia="Times New Roman" w:hAnsi="Times New Roman"/>
          <w:sz w:val="18"/>
          <w:szCs w:val="18"/>
        </w:rPr>
        <w:t xml:space="preserve">[7] H. Taubenböck et al., “A new ranking of the world’s largest cities,” Remote Sens. Environ., vol. 198, pp. 502–513, 2017.</w:t>
      </w:r>
    </w:p>
    <w:p>
      <w:pPr>
        <w:spacing w:before="0" w:after="50" w:line="240"/>
        <w:ind w:left="360" w:hanging="360"/>
      </w:pPr>
      <w:r>
        <w:rPr>
          <w:rFonts w:ascii="Times New Roman" w:cs="Times New Roman" w:eastAsia="Times New Roman" w:hAnsi="Times New Roman"/>
          <w:sz w:val="18"/>
          <w:szCs w:val="18"/>
        </w:rPr>
        <w:t xml:space="preserve">[8] U. Brandes, “A faster algorithm for betweenness centrality,” J. Math. Sociol., vol. 25, no. 2, pp. 163–177, 2001.</w:t>
      </w:r>
    </w:p>
    <w:p>
      <w:pPr>
        <w:spacing w:before="0" w:after="50" w:line="240"/>
        <w:ind w:left="360" w:hanging="360"/>
      </w:pPr>
      <w:r>
        <w:rPr>
          <w:rFonts w:ascii="Times New Roman" w:cs="Times New Roman" w:eastAsia="Times New Roman" w:hAnsi="Times New Roman"/>
          <w:sz w:val="18"/>
          <w:szCs w:val="18"/>
        </w:rPr>
        <w:t xml:space="preserve">[9] M. Galib and M. S. Hossain, “Dhaka Road Network Topology Features, 2025 (DRNTF-2025),” Zenodo, 2025, doi: 10.5281/zenodo.[XXXXXXX].</w:t>
      </w:r>
    </w:p>
    <w:p>
      <w:pPr>
        <w:spacing w:before="0" w:after="50" w:line="240"/>
        <w:ind w:left="360" w:hanging="360"/>
      </w:pPr>
      <w:r>
        <w:rPr>
          <w:rFonts w:ascii="Times New Roman" w:cs="Times New Roman" w:eastAsia="Times New Roman" w:hAnsi="Times New Roman"/>
          <w:sz w:val="18"/>
          <w:szCs w:val="18"/>
        </w:rPr>
        <w:t xml:space="preserve">[10] A. Mahmud, “Unplanned urbanization and environmental degradation: The case of Dhaka city,” Int. J. Environ. Prot., vol. 2, no. 4, pp. 31–38, 2012.</w:t>
      </w:r>
    </w:p>
    <w:p>
      <w:pPr>
        <w:spacing w:before="0" w:after="50" w:line="240"/>
        <w:ind w:left="360" w:hanging="360"/>
      </w:pPr>
      <w:r>
        <w:rPr>
          <w:rFonts w:ascii="Times New Roman" w:cs="Times New Roman" w:eastAsia="Times New Roman" w:hAnsi="Times New Roman"/>
          <w:sz w:val="18"/>
          <w:szCs w:val="18"/>
        </w:rPr>
        <w:t xml:space="preserve">[11] M. E. J. Newman, Networks: An Introduction. Oxford: Oxford University Press, 2010.</w:t>
      </w:r>
    </w:p>
    <w:p>
      <w:pPr>
        <w:spacing w:before="0" w:after="50" w:line="240"/>
        <w:ind w:left="360" w:hanging="360"/>
      </w:pPr>
      <w:r>
        <w:rPr>
          <w:rFonts w:ascii="Times New Roman" w:cs="Times New Roman" w:eastAsia="Times New Roman" w:hAnsi="Times New Roman"/>
          <w:sz w:val="18"/>
          <w:szCs w:val="18"/>
        </w:rPr>
        <w:t xml:space="preserve">[12] L. C. Freeman, “A set of measures of centrality based on betweenness,” Sociometry, vol. 40, no. 1, pp. 35–41, 1977.</w:t>
      </w:r>
    </w:p>
    <w:sectPr>
      <w:footerReference w:type="default" r:id="rId6"/>
      <w:pgSz w:w="12240" w:h="15840" w:orient="portrait"/>
      <w:pgMar w:top="1080" w:right="1080" w:bottom="1080" w:left="1080" w:header="708" w:footer="708" w:gutter="0"/>
      <w:pgNumType/>
      <w:cols w:space="72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60" w:after="80"/>
      <w:jc w:val="center"/>
      <w:outlineLvl w:val="0"/>
    </w:pPr>
    <w:rPr>
      <w:rFonts w:ascii="Times New Roman" w:cs="Times New Roman" w:eastAsia="Times New Roman" w:hAnsi="Times New Roman"/>
      <w:caps/>
      <w:sz w:val="22"/>
      <w:szCs w:val="22"/>
    </w:rPr>
  </w:style>
  <w:style w:type="paragraph" w:styleId="Heading2">
    <w:name w:val="Heading 2"/>
    <w:basedOn w:val="Normal"/>
    <w:next w:val="Normal"/>
    <w:qFormat/>
    <w:pPr>
      <w:spacing w:before="120" w:after="60"/>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2026-03-13T03:29:40.206Z</dcterms:created>
  <dcterms:modified xsi:type="dcterms:W3CDTF">2026-03-13T03:29:40.207Z</dcterms:modified>
</cp:coreProperties>
</file>

<file path=docProps/custom.xml><?xml version="1.0" encoding="utf-8"?>
<Properties xmlns="http://schemas.openxmlformats.org/officeDocument/2006/custom-properties" xmlns:vt="http://schemas.openxmlformats.org/officeDocument/2006/docPropsVTypes"/>
</file>