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GAT PIPELINE — RESULTS INTERPRETATION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Based on Real V3 Data — 790 Zones · 338,429 OSM Intersections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Dhaka Metropolitan Area · OpenStreetMap · Exact Betweenness Centrality (Brandes)</w:t>
      </w:r>
    </w:p>
    <w:p>
      <w:pPr>
        <w:pBdr>
          <w:bottom w:val="single" w:color="2E75B6" w:sz="6" w:space="1"/>
        </w:pBdr>
        <w:spacing w:before="80" w:after="8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Dataset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Zones processed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removing 32 zones with fewer than 30 nodes (BC not meaningful at tiny graph sizes)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OSM intersections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338,429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node-level records with exact BC, tier, degree, articulation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Cluster_0 (Fragmented)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147 zones (18.6%)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WCC fragmentation (0.083), high global efficiency (0.256), low BC Gini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Cluster_1 (Organic/Maze)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643 zones (81.4%)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WCC fragmentation (0.020), low global efficiency (0.108), high BC Gini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City-wide mean max BC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0.3801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average, one intersection controls 38% of all optimal routes in its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City-wide median max BC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0.3738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Distribution is near-symmetric — the mean is not distorted by outliers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Highest max BC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0.7111 (Zone_DH378)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single intersection controls 71% of all routes in that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Zones with max BC &gt; 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178 (22.5%)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than one in five zones has a node controlling over half of its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Zones with max BC &gt; 0.6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 (4.3%)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Extreme bottleneck concentration — highest-priority policy targets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The Two Clusters — What They Actually Represent</w:t>
      </w:r>
    </w:p>
    <w:p>
      <w:pPr>
        <w:spacing w:line="288" w:before="80" w:after="100"/>
      </w:pPr>
      <w:r>
        <w:rPr>
          <w:rFonts w:ascii="Arial" w:cs="Arial" w:eastAsia="Arial" w:hAnsi="Arial"/>
          <w:sz w:val="20"/>
          <w:szCs w:val="20"/>
        </w:rPr>
        <w:t xml:space="preserve">The V3 clustering produced two groups. The cluster labels (Cluster_0, Cluster_1) are arbitrary identifiers from the K-Means run. The table below resolves their structural identity from the feature means.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Cluster_0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Significant?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WCC fragmentation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*** p&lt;0.001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 has 4× more disconnected nodes — already partially fragmented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efficiency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*** p&lt;0.001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 has 2.4× higher efficiency — counter-intuitive, explained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Betweenness Gini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*** p&lt;0.001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C1 has more unequal BC distribution — stronger bottleneck concentration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BC (GAT exact)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*** p&lt;0.001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 zones have higher peak BC despite being more fragmented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Articulation 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119.9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*** p&lt;0.001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C1 has 6.7× more cut vertices — structurally fragile at many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Orientation entropy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3.633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3.580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Street direction diversity does not distinguish the two clusters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 degree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2.255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*** p&lt;0.001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C1 nodes have more connections on average — denser local 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*** p&lt;0.001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 has more triangles — small local clusters within a sparse global structure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Why Cluster_0 Has Higher Efficiency but More Fragmentation</w:t>
      </w:r>
    </w:p>
    <w:p>
      <w:pPr>
        <w:spacing w:line="288" w:before="80" w:after="100"/>
      </w:pPr>
      <w:r>
        <w:rPr>
          <w:rFonts w:ascii="Arial" w:cs="Arial" w:eastAsia="Arial" w:hAnsi="Arial"/>
          <w:sz w:val="20"/>
          <w:szCs w:val="20"/>
        </w:rPr>
        <w:t xml:space="preserve">This apparent contradiction resolves when you understand what each metric measures. WCC fragmentation counts the fraction of nodes not in the largest connected component — C0 zones literally have disconnected sub-graphs within their 1km² cell. But global efficiency measures how short the paths are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within</w:t>
      </w:r>
      <w:r>
        <w:rPr>
          <w:rFonts w:ascii="Arial" w:cs="Arial" w:eastAsia="Arial" w:hAnsi="Arial"/>
          <w:sz w:val="20"/>
          <w:szCs w:val="20"/>
        </w:rPr>
        <w:t xml:space="preserve"> the connected components. Small, tight sub-graphs have very short paths between their nodes — hence high efficiency. C0 is a collection of small, well-connected local clusters that are not joined to each other. C1 is one large, continuous organic network with long paths.</w:t>
      </w:r>
    </w:p>
    <w:p>
      <w:pPr>
        <w:spacing w:before="120" w:after="0"/>
      </w:pPr>
      <w:r>
        <w:t xml:space="preserve"/>
      </w:r>
    </w:p>
    <w:p>
      <w:pPr>
        <w:pBdr>
          <w:left w:val="single" w:color="FF9900" w:sz="20" w:space="10"/>
        </w:pBdr>
        <w:spacing w:before="100" w:after="100" w:line="31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Cluster_0 = Fragmented Peripheral:</w:t>
      </w:r>
      <w:r>
        <w:rPr>
          <w:rFonts w:ascii="Arial" w:cs="Arial" w:eastAsia="Arial" w:hAnsi="Arial"/>
          <w:sz w:val="20"/>
          <w:szCs w:val="20"/>
        </w:rPr>
        <w:t xml:space="preserve"> Small disconnected road clusters, high local efficiency, low BC (routing load spreads across tiny sub-graphs), few articulation points (each sub-graph is its own island — removing one node rarely bridges between sub-graphs). These are the urban fringe — new developments, industrial zones, low-connectivity peripheral areas.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20" w:space="10"/>
        </w:pBdr>
        <w:spacing w:before="100" w:after="100" w:line="31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Cluster_1 = Organic Maze / Corridor:</w:t>
      </w:r>
      <w:r>
        <w:rPr>
          <w:rFonts w:ascii="Arial" w:cs="Arial" w:eastAsia="Arial" w:hAnsi="Arial"/>
          <w:sz w:val="20"/>
          <w:szCs w:val="20"/>
        </w:rPr>
        <w:t xml:space="preserve"> One continuous connected network, lower global efficiency (long winding paths), high BC Gini (routing funnels through a small number of bottleneck junctions), many articulation points (every branch root is a cut vertex). These are the organic residential and commercial neighbourhoods — Old Dhaka, Hazaribagh, Lalbagh, the peripheral organic corridors.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Betweenness Centrality by Cluster — The Core TCGA Finding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BC Is Significantly Higher in Cluster_0</w:t>
      </w:r>
    </w:p>
    <w:p>
      <w:pPr>
        <w:spacing w:line="288" w:before="80" w:after="100"/>
      </w:pPr>
      <w:r>
        <w:rPr>
          <w:rFonts w:ascii="Arial" w:cs="Arial" w:eastAsia="Arial" w:hAnsi="Arial"/>
          <w:sz w:val="20"/>
          <w:szCs w:val="20"/>
        </w:rPr>
        <w:t xml:space="preserve">A Mann-Whitney U test on max betweenness centrality between the two clusters returns: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 = 78,588, p = 3.97 × 10⁻³⁶</w:t>
      </w:r>
      <w:r>
        <w:rPr>
          <w:rFonts w:ascii="Arial" w:cs="Arial" w:eastAsia="Arial" w:hAnsi="Arial"/>
          <w:sz w:val="20"/>
          <w:szCs w:val="20"/>
        </w:rPr>
        <w:t xml:space="preserve"> — an extremely significant result. The effect is in an unexpected direction: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Statistic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Cluster_0 (Fragmented)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Cluster_1 (Organic/Maze)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max BC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 max BC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0.5206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0.3303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Std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0.0995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0.1204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P25 max BC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0.4395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P75 max BC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0.5779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0.4521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max BC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0.7054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 articulation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119.9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Interpreting the Unexpected Direction</w:t>
      </w:r>
    </w:p>
    <w:p>
      <w:pPr>
        <w:spacing w:line="288" w:before="80" w:after="100"/>
      </w:pPr>
      <w:r>
        <w:rPr>
          <w:rFonts w:ascii="Arial" w:cs="Arial" w:eastAsia="Arial" w:hAnsi="Arial"/>
          <w:sz w:val="20"/>
          <w:szCs w:val="20"/>
        </w:rPr>
        <w:t xml:space="preserve">Cluster_0 (Fragmented) has higher BC than Cluster_1 (Organic). This seems wrong — you would expect the organic maze to be more bottleneck-prone. The explanation is structural: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 w:line="2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Cluster_0 zones,</w:t>
      </w:r>
      <w:r>
        <w:rPr>
          <w:rFonts w:ascii="Arial" w:cs="Arial" w:eastAsia="Arial" w:hAnsi="Arial"/>
          <w:sz w:val="20"/>
          <w:szCs w:val="20"/>
        </w:rPr>
        <w:t xml:space="preserve"> the network is fragmented into small sub-graphs. Within each sub-graph, the few nodes that exist are all on short paths between every pair of endpoints. Normalised BC in a small graph is inherently inflated — with only 30–100 nodes, one bridge node can dominate routing completely.</w:t>
      </w:r>
    </w:p>
    <w:p>
      <w:pPr>
        <w:pStyle w:val="ListParagraph"/>
        <w:numPr>
          <w:ilvl w:val="0"/>
          <w:numId w:val="2"/>
        </w:numPr>
        <w:spacing w:before="50" w:after="50" w:line="2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 Cluster_1 zones,</w:t>
      </w:r>
      <w:r>
        <w:rPr>
          <w:rFonts w:ascii="Arial" w:cs="Arial" w:eastAsia="Arial" w:hAnsi="Arial"/>
          <w:sz w:val="20"/>
          <w:szCs w:val="20"/>
        </w:rPr>
        <w:t xml:space="preserve"> the network is large (median ~150 nodes) and continuously connected. Routing load is spread across many more nodes, so even the dominant bottleneck controls a smaller fraction of a much larger set of paths.</w:t>
      </w:r>
    </w:p>
    <w:p>
      <w:pPr>
        <w:spacing w:before="120" w:after="0"/>
      </w:pPr>
      <w:r>
        <w:t xml:space="preserve"/>
      </w:r>
    </w:p>
    <w:p>
      <w:pPr>
        <w:spacing w:line="288" w:before="80" w:after="100"/>
      </w:pPr>
      <w:r>
        <w:rPr>
          <w:rFonts w:ascii="Arial" w:cs="Arial" w:eastAsia="Arial" w:hAnsi="Arial"/>
          <w:sz w:val="20"/>
          <w:szCs w:val="20"/>
        </w:rPr>
        <w:t xml:space="preserve">This is why the TCGA re-weighting step is critical: raw BC values are not directly comparable across zones of different sizes and connectivity structures. A BC of 0.50 in a 30-node C0 zone is structurally very different from a BC of 0.50 in a 200-node C1 zone. The TCGA framework must condition its attention weights on cluster membership and zone size to produce a fair city-wide ranking.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 Key Correlations with Max BC</w:t>
      </w:r>
    </w:p>
    <w:p>
      <w:pPr>
        <w:spacing w:line="288" w:before="80" w:after="100"/>
      </w:pPr>
      <w:r>
        <w:rPr>
          <w:rFonts w:ascii="Arial" w:cs="Arial" w:eastAsia="Arial" w:hAnsi="Arial"/>
          <w:sz w:val="20"/>
          <w:szCs w:val="20"/>
        </w:rPr>
        <w:t xml:space="preserve">All Spearman correlations computed on the full 790-zone dataset (n≥30):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Spearman 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p-value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-0.7051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Larger zones have lower max BC — the size-normalisation issue described above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mean_betweenness_centrality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+0.7523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Zones where mean BC is high also have high max BC — consistent concentration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global_efficiency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+0.6496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efficient (short-path) networks also have more dominant bottlenecks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wcc_fragmentation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+0.6342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fragmented zones have higher peak BC — the small-graph inflation 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art_point_count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-0.6035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articulation points → lower max BC (two orthogonal fragility dimensions)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path_length_p90_norm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+0.5881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Zones with longer normalised paths have higher BC — tree-like routing structure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avg_degree_v3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-0.5112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connectivity (more road junctions) reduces BC concentration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betweenness_gini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-0.2195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&lt;0.0001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Gini (more unequal BC) → lower max BC — spread concentration reduces peak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orientation_entropy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+0.0195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0.5843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Street direction diversity has no significant relationship with BC — key finding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left w:val="single" w:color="CC0000" w:sz="20" w:space="10"/>
        </w:pBdr>
        <w:spacing w:before="100" w:after="100" w:line="31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finding:</w:t>
      </w:r>
      <w:r>
        <w:rPr>
          <w:rFonts w:ascii="Arial" w:cs="Arial" w:eastAsia="Arial" w:hAnsi="Arial"/>
          <w:sz w:val="20"/>
          <w:szCs w:val="20"/>
        </w:rPr>
        <w:t xml:space="preserve"> Orientation entropy (the feature most associated with Grid vs Maze morphology) has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no significant correlation</w:t>
      </w:r>
      <w:r>
        <w:rPr>
          <w:rFonts w:ascii="Arial" w:cs="Arial" w:eastAsia="Arial" w:hAnsi="Arial"/>
          <w:sz w:val="20"/>
          <w:szCs w:val="20"/>
        </w:rPr>
        <w:t xml:space="preserve"> with max BC (r = 0.02, p = 0.58). This means that street geometry alone cannot predict structural vulnerability. A zone with regular grid-like street bearings can still develop extreme bottleneck concentration in its routing topology. This is the analytical justification for the TCGA framework: morphological classification (Grid/Maze/Radial from V3) and betweenness-based vulnerability assessment (GAT) are measuring orthogonal properties of the network.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 Geographic Pattern — Where Fragility Lives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Latitude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Latitude Band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 Max BC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C1%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23.65–23.70°N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0.4272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69%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South fringe — mixed, highest C0 concentration, highest BC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23.70–23.75°N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81%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central — Old Dhaka, Lalbagh, Sadarghat. Dense organic, moderate BC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23.75–23.80°N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0.3617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84%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centre — Motijheel, Dhanmondi, Tejgaon. Lowest C0, moderate BC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23.80–23.85°N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0.3681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Upper centre — Mohammadpur, Mirpur. Lowest C0 share, near-average BC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23.85–23.90°N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0.3666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89%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North-central — Uttara approach. Predominantly C1, moderate BC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23.90–23.95°N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78%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North fringe — Airport corridor, periphery. C0 rises, BC rises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Longitude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Longitude Band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 Max BC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90.25–90.30°E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 west — Keraniganj approach, sparse peripheral zones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90.30–90.35°E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0.4148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West — Hazaribagh, Mohammadpur west. Highest BC in longitude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90.35–90.40°E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0.3303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 spine — Dhanmondi to Motijheel. Lowest BC, most connected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90.40–90.45°E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0.3481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East-central — Gulshan, Banani, Baridhara. Planned, lowest C0%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90.45–90.48°E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0.4412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Far east — Demra, Rayer Bazar fringe. Highest BC, high C0%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line="288"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Geographic interpretation:</w:t>
      </w:r>
      <w:r>
        <w:rPr>
          <w:rFonts w:ascii="Arial" w:cs="Arial" w:eastAsia="Arial" w:hAnsi="Arial"/>
          <w:sz w:val="20"/>
          <w:szCs w:val="20"/>
        </w:rPr>
        <w:t xml:space="preserve"> Structural vulnerability follows a clear spatial pattern: the longitudinal central spine (90.35–90.40°E), which includes Dhanmondi, Tejgaon, and Motijheel, has the lowest mean max BC (0.330) and the lowest C0 concentration (9%). This is the best-connected corridor of the city. Fragility rises in both directions — westward toward the river and eastward toward the fringe. Latitudinally, the core (23.75–23.85°N) is most resilient; both the southern tip and northern periphery show elevated BC and C0 concentration.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 High-Priority Zones for TCGA Policy Targeting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Critical Anomalies: High BC in Fragmented (C0) Zones</w:t>
      </w:r>
    </w:p>
    <w:p>
      <w:pPr>
        <w:spacing w:line="288" w:before="80" w:after="100"/>
      </w:pPr>
      <w:r>
        <w:rPr>
          <w:rFonts w:ascii="Arial" w:cs="Arial" w:eastAsia="Arial" w:hAnsi="Arial"/>
          <w:sz w:val="20"/>
          <w:szCs w:val="20"/>
        </w:rPr>
        <w:t xml:space="preserve">There are 24 Cluster_0 zones with max BC above 0.60. These are the highest-priority TCGA targets: they are already partially disconnected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and</w:t>
      </w:r>
      <w:r>
        <w:rPr>
          <w:rFonts w:ascii="Arial" w:cs="Arial" w:eastAsia="Arial" w:hAnsi="Arial"/>
          <w:sz w:val="20"/>
          <w:szCs w:val="20"/>
        </w:rPr>
        <w:t xml:space="preserve"> have extreme bottleneck concentration in their remaining connected subgraph. The top examples: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 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 °N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 °E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23.900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90.346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Zone_DH793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23.858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90.465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Zone_DH762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23.888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90.449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Zone_DH722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23.850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90.443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23.905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90.328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23.685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90.363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23.818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90.297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line="288" w:before="80" w:after="100"/>
      </w:pPr>
      <w:r>
        <w:rPr>
          <w:rFonts w:ascii="Arial" w:cs="Arial" w:eastAsia="Arial" w:hAnsi="Arial"/>
          <w:sz w:val="20"/>
          <w:szCs w:val="20"/>
        </w:rPr>
        <w:t xml:space="preserve">Most of these zones cluster in the north-east (90.43–90.47°E, 23.83–23.91°N) and south-west (90.27–90.29°E). These are exactly the peripheral fringe areas identified in the city-wide map.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The Most Dangerous Organic Zones: High BC in C1</w:t>
      </w:r>
    </w:p>
    <w:p>
      <w:pPr>
        <w:spacing w:line="288" w:before="80" w:after="100"/>
      </w:pPr>
      <w:r>
        <w:rPr>
          <w:rFonts w:ascii="Arial" w:cs="Arial" w:eastAsia="Arial" w:hAnsi="Arial"/>
          <w:sz w:val="20"/>
          <w:szCs w:val="20"/>
        </w:rPr>
        <w:t xml:space="preserve">There are 10 Cluster_1 zones with max BC above 0.60. These are the most dangerous from a TCGA perspective: they are large, continuously connected organic networks — not small fragmented sub-graphs — yet a single intersection still controls over 60% of all routing. The TCGA argument is strongest here because these are genuine structural bottlenecks, not artefacts of small graph size: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 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 °N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 °E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Zone_DH860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23.835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90.475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East fringe, organic corridor. 96-node continuous network dominated by one junction.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Zone_DH801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23.929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90.462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North-east periphery. 70-node network, 27 articulation points plus 0.67 BC master.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Zone_DH779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23.732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90.464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174-node zone with BC=0.64. This is a genuine network-scale bottleneck.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Zone_DH547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23.849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90.395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242 nodes. This is the most significant: a large zone where one node still controls 61%.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Zone_DH387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23.664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90.361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South corridor fringe. Organic network with severe bottleneck at zone access road.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Bdr>
          <w:left w:val="single" w:color="1F3864" w:sz="20" w:space="10"/>
        </w:pBdr>
        <w:spacing w:before="100" w:after="100" w:line="31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Zone_DH547 (C1, BC=0.609, 242 nodes):</w:t>
      </w:r>
      <w:r>
        <w:rPr>
          <w:rFonts w:ascii="Arial" w:cs="Arial" w:eastAsia="Arial" w:hAnsi="Arial"/>
          <w:sz w:val="20"/>
          <w:szCs w:val="20"/>
        </w:rPr>
        <w:t xml:space="preserve"> This is the most significant single zone in the dataset for the TCGA argument. It is large enough that small-graph inflation cannot explain the BC value, it is classified as the organic cluster, and one intersection still controls 61% of all routing. Remove that intersection and you impose a catastrophic detour cost on a 242-node network serving a real Dhaka neighbourhood. This is the zone to present as your paper’s primary case study.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 How GAT Outputs Extend V3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 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 Counterpart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betweenness_gini (approx, k=50)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max_bc / mean_bc ratio (exact)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 measured BC inequality with k=50 samples. GAT provides the exact full distribution. The negative correlation (r=−0.22) shows Gini and max_bc capture different aspects: Gini measures spread, max_bc measures the absolute peak.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orientation_entropy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(No counterpart — orthogonal)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Orientation entropy has r=0.02 (ns) with max_bc. Street geometry and routing bottleneck concentration are independent dimensions. This validates the need for both V3 morphology features and GAT topology features in the framework.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wcc_fragmentation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art_point_count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wcc_fragmentation = already disconnected (r=+0.63 with max_bc). art_point_count = one step from disconnected. GAT captures latent fragility; V3 captured realised fragility. Both are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hub_dominance_ratio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master_degree / avg_degree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Hub dominance is degree-based. Master node dominance is path-based. They are complementary: a low-degree node can still have extreme BC if it is a bridge between network communities.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mean_betweenness_centrality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max_bc, p95_bc, p99_bc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V3 kept one mean scalar. GAT provides the full distributional tail (r=+0.75 between mean BC and max BC). The tail — not the mean — is what determines policy priority.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global_efficiency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(Inverse relationship)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efficiency measures how efficiently routes are distributed. High efficiency + high max_bc (r=+0.65) means small, well-connected networks where one node inevitably dominates short paths.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 Suggested Text for Paper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Results Section Paragraph</w:t>
      </w:r>
    </w:p>
    <w:p>
      <w:pPr>
        <w:pBdr>
          <w:left w:val="single" w:color="1F3864" w:sz="20" w:space="10"/>
        </w:pBdr>
        <w:spacing w:before="100" w:after="100" w:line="310"/>
        <w:ind w:left="360"/>
      </w:pPr>
      <w:r>
        <w:rPr>
          <w:rFonts w:ascii="Arial" w:cs="Arial" w:eastAsia="Arial" w:hAnsi="Arial"/>
          <w:sz w:val="20"/>
          <w:szCs w:val="20"/>
        </w:rPr>
        <w:t xml:space="preserve">The GAT pipeline processed 790 valid zones from the V3 OSM dataset (338,429 real intersections; 32 zones with fewer than 30 nodes were excluded as exact betweenness centrality is not meaningful at very small graph sizes). City-wide, the mean maximum betweenness centrality is 0.380 (median 0.374), indicating that a single intersection controls approximately 38% of all optimal routes in the average zone. The distribution is substantially right-skewed, with 22.5% of zones (n=178) exhibiting max BC above 0.50 and 4.3% (n=34) above 0.60. The highest value recorded is 0.711 at Zone_DH378. Comparing the two topology clusters identified in the V3 analysis, a Mann–Whitney U test reveals significantly higher max BC in Cluster_0 (fragmented; μ=0.507±0.100) than in Cluster_1 (organic/maze; μ=0.351±0.120; U=78,588, p=3.97×10⁻³⁶). This difference is explained by the small-graph inflation effect: Cluster_0 zones are partially disconnected sub-graphs where normalised BC is inherently elevated relative to large continuous networks. The highest-priority TCGA targets are the 10 Cluster_1 zones with max BC above 0.60 (notably Zone_DH547: 242 nodes, BC=0.609), where extreme bottleneck concentration cannot be attributed to graph size and represents a genuine structural vulnerability in a large organic network.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Discussion Paragraph</w:t>
      </w:r>
    </w:p>
    <w:p>
      <w:pPr>
        <w:pBdr>
          <w:left w:val="single" w:color="2E75B6" w:sz="20" w:space="10"/>
        </w:pBdr>
        <w:spacing w:before="100" w:after="100" w:line="310"/>
        <w:ind w:left="360"/>
      </w:pPr>
      <w:r>
        <w:rPr>
          <w:rFonts w:ascii="Arial" w:cs="Arial" w:eastAsia="Arial" w:hAnsi="Arial"/>
          <w:sz w:val="20"/>
          <w:szCs w:val="20"/>
        </w:rPr>
        <w:t xml:space="preserve">A Spearman correlation analysis across all 790 zones reveals that betweenness centrality concentration is most strongly predicted by zone size (r=−0.705, p&lt;0.001), mean path length (r=+0.588, p&lt;0.001), and network connectivity (avg degree, r=−0.511, p&lt;0.001) rather than by street morphology. Critically, orientation entropy — the V3 feature most directly associated with planned Grid versus organic Maze topology — shows no significant correlation with max BC (r=0.02, p=0.58). This result demonstrates that street geometry and routing vulnerability are orthogonal network properties. A zone with regular, grid-like street bearings can develop severe bottleneck concentration if its connectivity is low; conversely, an organic maze network with diverse street directions may have well-distributed routing load if its intersection density is high. This orthogonality constitutes the analytical justification for the TCGA framework: the V3 morphological clustering and the GAT betweenness analysis provide complementary, non-redundant signals. Neither alone is sufficient to identify high-risk zones. Their joint conditioning — the topology-aware attention re-weighting step — produces a ranking that reflects both structural type and intra-type vulnerability magnitude.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 Immediate Next Steps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 w:line="27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Small-graph correction:</w:t>
      </w:r>
      <w:r>
        <w:rPr>
          <w:rFonts w:ascii="Arial" w:cs="Arial" w:eastAsia="Arial" w:hAnsi="Arial"/>
          <w:sz w:val="20"/>
          <w:szCs w:val="20"/>
        </w:rPr>
        <w:t xml:space="preserve"> For any city-wide BC ranking, normalise max_bc by √n (square root of node count). This removes the size-inflation effect and makes C0 and C1 zones directly comparable. Recompute the cluster comparison after this normalisation.</w:t>
      </w:r>
    </w:p>
    <w:p>
      <w:pPr>
        <w:pStyle w:val="ListParagraph"/>
        <w:numPr>
          <w:ilvl w:val="0"/>
          <w:numId w:val="3"/>
        </w:numPr>
        <w:spacing w:before="60" w:after="60" w:line="27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Zone_DH547 case study:</w:t>
      </w:r>
      <w:r>
        <w:rPr>
          <w:rFonts w:ascii="Arial" w:cs="Arial" w:eastAsia="Arial" w:hAnsi="Arial"/>
          <w:sz w:val="20"/>
          <w:szCs w:val="20"/>
        </w:rPr>
        <w:t xml:space="preserve"> Run the full before/after catastrophe demo on Zone_DH547 (242 nodes, C1, BC=0.609). This is your primary paper figure — large enough that BC is credible, organic enough that the structural argument is clean.</w:t>
      </w:r>
    </w:p>
    <w:p>
      <w:pPr>
        <w:pStyle w:val="ListParagraph"/>
        <w:numPr>
          <w:ilvl w:val="0"/>
          <w:numId w:val="3"/>
        </w:numPr>
        <w:spacing w:before="60" w:after="60" w:line="27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Wilcoxon on size-normalised BC:</w:t>
      </w:r>
      <w:r>
        <w:rPr>
          <w:rFonts w:ascii="Arial" w:cs="Arial" w:eastAsia="Arial" w:hAnsi="Arial"/>
          <w:sz w:val="20"/>
          <w:szCs w:val="20"/>
        </w:rPr>
        <w:t xml:space="preserve"> After normalisation, repeat the Cluster_0 vs Cluster_1 test. If the direction reverses (C1 becomes higher), that is the clean TCGA result: organic zones have higher size-adjusted bottleneck concentration than fragmented zones.</w:t>
      </w:r>
    </w:p>
    <w:p>
      <w:pPr>
        <w:pStyle w:val="ListParagraph"/>
        <w:numPr>
          <w:ilvl w:val="0"/>
          <w:numId w:val="3"/>
        </w:numPr>
        <w:spacing w:before="60" w:after="60" w:line="27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Spatial cluster map:</w:t>
      </w:r>
      <w:r>
        <w:rPr>
          <w:rFonts w:ascii="Arial" w:cs="Arial" w:eastAsia="Arial" w:hAnsi="Arial"/>
          <w:sz w:val="20"/>
          <w:szCs w:val="20"/>
        </w:rPr>
        <w:t xml:space="preserve"> Overlay the 34 high-BC zones (BC&gt;0.60) on the V3 cluster map. Visually confirm whether they concentrate in the north-east corridor. Add their master node GPS coordinates to verify each corresponds to a real physical bottleneck (bridge, market access, main road junction).</w:t>
      </w:r>
    </w:p>
    <w:p>
      <w:pPr>
        <w:pStyle w:val="ListParagraph"/>
        <w:numPr>
          <w:ilvl w:val="0"/>
          <w:numId w:val="3"/>
        </w:numPr>
        <w:spacing w:before="60" w:after="60" w:line="27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Cross-reference with population density:</w:t>
      </w:r>
      <w:r>
        <w:rPr>
          <w:rFonts w:ascii="Arial" w:cs="Arial" w:eastAsia="Arial" w:hAnsi="Arial"/>
          <w:sz w:val="20"/>
          <w:szCs w:val="20"/>
        </w:rPr>
        <w:t xml:space="preserve"> The most policy-relevant finding is identifying high-BC zones in densely populated areas. Join zone_id to a population raster and report the top-10 zones by max_bc weighted by population — this converts an academic finding into a direct policy recommendation.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80" w:after="8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Based on real V3 data · 790 zones · 338,429 OSM intersections · Brandes exact algorithm · Mann–Whitney U, Spearman correlations</w:t>
      </w:r>
    </w:p>
    <w:sectPr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2026-03-11T19:33:43.196Z</dcterms:created>
  <dcterms:modified xsi:type="dcterms:W3CDTF">2026-03-11T19:33:43.198Z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