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240" w:after="120"/>
        <w:jc w:val="center"/>
      </w:pPr>
      <w:r>
        <w:rPr>
          <w:rFonts w:ascii="Arial" w:cs="Arial" w:eastAsia="Arial" w:hAnsi="Arial"/>
          <w:sz w:val="12"/>
          <w:szCs w:val="12"/>
        </w:rPr>
        <w:t xml:space="preserve"/>
      </w:r>
    </w:p>
    <w:p>
      <w:pPr>
        <w:shd w:fill="1F4E79" w:val="clear"/>
        <w:spacing w:before="0" w:after="0"/>
        <w:jc w:val="center"/>
      </w:pPr>
      <w:r>
        <w:rPr>
          <w:rFonts w:ascii="Arial" w:cs="Arial" w:eastAsia="Arial" w:hAnsi="Arial"/>
          <w:b/>
          <w:bCs/>
          <w:color w:val="FFFFFF"/>
          <w:sz w:val="36"/>
          <w:szCs w:val="36"/>
        </w:rPr>
        <w:t xml:space="preserve">A Topology-Aware, Graph-Attention Framework for</w:t>
      </w:r>
    </w:p>
    <w:p>
      <w:pPr>
        <w:shd w:fill="1F4E79" w:val="clear"/>
        <w:spacing w:before="0" w:after="0"/>
        <w:jc w:val="center"/>
      </w:pPr>
      <w:r>
        <w:rPr>
          <w:rFonts w:ascii="Arial" w:cs="Arial" w:eastAsia="Arial" w:hAnsi="Arial"/>
          <w:b/>
          <w:bCs/>
          <w:color w:val="FFFFFF"/>
          <w:sz w:val="36"/>
          <w:szCs w:val="36"/>
        </w:rPr>
        <w:t xml:space="preserve">Intra-Urban Transport Policy Targeting</w:t>
      </w:r>
    </w:p>
    <w:p>
      <w:pPr>
        <w:shd w:fill="1F4E79" w:val="clear"/>
        <w:spacing w:before="120" w:after="0"/>
        <w:jc w:val="center"/>
      </w:pPr>
      <w:r>
        <w:rPr>
          <w:rFonts w:ascii="Arial" w:cs="Arial" w:eastAsia="Arial" w:hAnsi="Arial"/>
          <w:b w:val="false"/>
          <w:bCs w:val="false"/>
          <w:color w:val="ADD8F7"/>
          <w:sz w:val="26"/>
          <w:szCs w:val="26"/>
        </w:rPr>
        <w:t xml:space="preserve">Bridging Macro-Structure and Micro-Criticality in Dhaka</w:t>
      </w:r>
    </w:p>
    <w:p>
      <w:pPr>
        <w:shd w:fill="1F4E79" w:val="clear"/>
        <w:spacing w:before="200" w:after="240"/>
        <w:jc w:val="center"/>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jc w:val="center"/>
            </w:pPr>
            <w:r>
              <w:rPr>
                <w:rFonts w:ascii="Arial" w:cs="Arial" w:eastAsia="Arial" w:hAnsi="Arial"/>
                <w:b/>
                <w:bCs/>
                <w:color w:val="1F4E79"/>
                <w:sz w:val="24"/>
                <w:szCs w:val="24"/>
              </w:rPr>
              <w:t xml:space="preserve">Mehzad Galib</w:t>
            </w:r>
          </w:p>
          <w:p>
            <w:pPr>
              <w:jc w:val="center"/>
            </w:pPr>
            <w:r>
              <w:rPr>
                <w:rFonts w:ascii="Arial" w:cs="Arial" w:eastAsia="Arial" w:hAnsi="Arial"/>
                <w:color w:val="404040"/>
                <w:sz w:val="19"/>
                <w:szCs w:val="19"/>
              </w:rPr>
              <w:t xml:space="preserve">0424056004@grad.cse.buet.ac.bd</w:t>
            </w:r>
          </w:p>
          <w:p>
            <w:pPr>
              <w:jc w:val="center"/>
            </w:pPr>
            <w:r>
              <w:rPr>
                <w:rFonts w:ascii="Arial" w:cs="Arial" w:eastAsia="Arial" w:hAnsi="Arial"/>
                <w:color w:val="404040"/>
                <w:sz w:val="19"/>
                <w:szCs w:val="19"/>
              </w:rPr>
              <w:t xml:space="preserve">MSc. in Data Science • CSE, BUET</w:t>
            </w:r>
          </w:p>
        </w:tc>
        <w:tc>
          <w:tcPr>
            <w:tcW w:type="dxa" w:w="468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jc w:val="center"/>
            </w:pPr>
            <w:r>
              <w:rPr>
                <w:rFonts w:ascii="Arial" w:cs="Arial" w:eastAsia="Arial" w:hAnsi="Arial"/>
                <w:b/>
                <w:bCs/>
                <w:color w:val="1F4E79"/>
                <w:sz w:val="24"/>
                <w:szCs w:val="24"/>
              </w:rPr>
              <w:t xml:space="preserve">Md. Sabbir Hossain</w:t>
            </w:r>
          </w:p>
          <w:p>
            <w:pPr>
              <w:jc w:val="center"/>
            </w:pPr>
            <w:r>
              <w:rPr>
                <w:rFonts w:ascii="Arial" w:cs="Arial" w:eastAsia="Arial" w:hAnsi="Arial"/>
                <w:color w:val="404040"/>
                <w:sz w:val="19"/>
                <w:szCs w:val="19"/>
              </w:rPr>
              <w:t xml:space="preserve">0424056007@grad.cse.buet.ac.bd</w:t>
            </w:r>
          </w:p>
          <w:p>
            <w:pPr>
              <w:jc w:val="center"/>
            </w:pPr>
            <w:r>
              <w:rPr>
                <w:rFonts w:ascii="Arial" w:cs="Arial" w:eastAsia="Arial" w:hAnsi="Arial"/>
                <w:color w:val="404040"/>
                <w:sz w:val="19"/>
                <w:szCs w:val="19"/>
              </w:rPr>
              <w:t xml:space="preserve">MSc. in Data Science • CSE, BUET</w:t>
            </w:r>
          </w:p>
        </w:tc>
      </w:tr>
    </w:tbl>
    <w:p>
      <w:pPr>
        <w:spacing w:before="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Abstract</w:t>
      </w:r>
    </w:p>
    <w:p>
      <w:pPr>
        <w:spacing w:before="80" w:after="120" w:line="320"/>
        <w:ind/>
        <w:jc w:val="both"/>
      </w:pPr>
      <w:r>
        <w:rPr>
          <w:rFonts w:ascii="Arial" w:cs="Arial" w:eastAsia="Arial" w:hAnsi="Arial"/>
          <w:b w:val="false"/>
          <w:bCs w:val="false"/>
          <w:i w:val="false"/>
          <w:iCs w:val="false"/>
          <w:color w:val="404040"/>
          <w:sz w:val="22"/>
          <w:szCs w:val="22"/>
        </w:rPr>
        <w:t xml:space="preserve">Urban transportation planning in megacities suffers from a fundamental misalignment: interventions are deployed uniformly across zones that differ structurally in road network topology. In Dhaka, Bangladesh — a city where traffic congestion costs an estimated 1.2% of GDP annually, where average commute speeds fall below 7 km/h during peak hours, and where citizens lose approximately 237 hours per year to delays — policies applied across administrative boundaries ignore functional connectivity, perpetuating a cycle of high-cost, low-impact interventions.</w:t>
      </w:r>
    </w:p>
    <w:p>
      <w:pPr>
        <w:spacing w:before="80" w:after="80" w:line="320"/>
        <w:ind/>
        <w:jc w:val="both"/>
      </w:pPr>
      <w:r>
        <w:rPr>
          <w:rFonts w:ascii="Arial" w:cs="Arial" w:eastAsia="Arial" w:hAnsi="Arial"/>
          <w:b w:val="false"/>
          <w:bCs w:val="false"/>
          <w:i w:val="false"/>
          <w:iCs w:val="false"/>
          <w:color w:val="404040"/>
          <w:sz w:val="22"/>
          <w:szCs w:val="22"/>
        </w:rPr>
        <w:t xml:space="preserve">We propose a unified framework that bridges macro-topological zoning with micro-level graph attention to enable precision policy targeting. Using buffered spatial tiling and unsupervised clustering on OpenStreetMap data, we partition Dhaka into structurally coherent sub-networks revealing three to four dominant topological types: Maze (organic/informal), Grid (planned), Radial Corridor (arterial), and Periphery (sparse). A zone-aware graph attention mechanism then ranks infrastructure points by functional criticality relative to their local structural regime. This updated proposal incorporates critical methodological improvements identified during implementation, including robustness fixes for disconnected subgraph handling, convergence-guaranteed centrality computation, and multi-algorithm cluster validation.</w:t>
      </w:r>
    </w:p>
    <w:p>
      <w:pPr>
        <w:spacing w:before="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1. Introduction</w:t>
      </w:r>
    </w:p>
    <w:p>
      <w:pPr>
        <w:spacing w:before="80" w:after="120" w:line="320"/>
        <w:ind/>
        <w:jc w:val="both"/>
      </w:pPr>
      <w:r>
        <w:rPr>
          <w:rFonts w:ascii="Arial" w:cs="Arial" w:eastAsia="Arial" w:hAnsi="Arial"/>
          <w:b w:val="false"/>
          <w:bCs w:val="false"/>
          <w:i w:val="false"/>
          <w:iCs w:val="false"/>
          <w:color w:val="404040"/>
          <w:sz w:val="22"/>
          <w:szCs w:val="22"/>
        </w:rPr>
        <w:t xml:space="preserve">Urban mobility in Global South megacities is increasingly recognized not as a problem of capacity deficit, but of spatial intelligence failure — the persistent inability to align infrastructure interventions with the city’s intrinsic structural logic. Dhaka presents the most acute manifestation of this crisis. A signal timing optimization that reduces delay by 18% in Dhanmondi’s planned grid may simultaneously induce 27% spillover congestion in Old Dhaka’s organic alleyways; a bus rapid transit feeder optimized for Airport Road may achieve negligible ridership in Keraniganj, where connectivity is sparse and trip patterns are hyper-local.</w:t>
      </w:r>
    </w:p>
    <w:p>
      <w:pPr>
        <w:spacing w:before="80" w:after="80" w:line="320"/>
        <w:ind/>
        <w:jc w:val="both"/>
      </w:pPr>
      <w:r>
        <w:rPr>
          <w:rFonts w:ascii="Arial" w:cs="Arial" w:eastAsia="Arial" w:hAnsi="Arial"/>
          <w:b w:val="false"/>
          <w:bCs w:val="false"/>
          <w:i w:val="false"/>
          <w:iCs w:val="false"/>
          <w:color w:val="404040"/>
          <w:sz w:val="22"/>
          <w:szCs w:val="22"/>
        </w:rPr>
        <w:t xml:space="preserve">This paper addresses a fundamental conceptual gap: the absence of a framework that systematically classifies intra-urban zones by topological structure and leverages this typology to guide context-sensitive, equity-aware interventions. Our approach rests on three core principles: (1) cities are mosaics of structurally distinct sub-networks partitioning into globally recognized archetypes; (2) functional criticality is context-dependent — node importance must be evaluated relative to local topological regime; and (3) boundary-aware spatial partitioning is essential to avoid artificial fragmentation.</w:t>
      </w:r>
    </w:p>
    <w:p>
      <w:pPr>
        <w:spacing w:before="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2. Literature Review</w:t>
      </w:r>
    </w:p>
    <w:p>
      <w:pPr>
        <w:pStyle w:val="Heading2"/>
        <w:spacing w:before="240" w:after="120"/>
      </w:pPr>
      <w:r>
        <w:rPr>
          <w:rFonts w:ascii="Arial" w:cs="Arial" w:eastAsia="Arial" w:hAnsi="Arial"/>
          <w:b/>
          <w:bCs/>
          <w:color w:val="2E75B6"/>
          <w:sz w:val="24"/>
          <w:szCs w:val="24"/>
        </w:rPr>
        <w:t xml:space="preserve">2.1 Urban Road Networks as Topological Systems</w:t>
      </w:r>
    </w:p>
    <w:p>
      <w:pPr>
        <w:spacing w:before="80" w:after="120" w:line="320"/>
        <w:ind/>
        <w:jc w:val="both"/>
      </w:pPr>
      <w:r>
        <w:rPr>
          <w:rFonts w:ascii="Arial" w:cs="Arial" w:eastAsia="Arial" w:hAnsi="Arial"/>
          <w:b w:val="false"/>
          <w:bCs w:val="false"/>
          <w:i w:val="false"/>
          <w:iCs w:val="false"/>
          <w:color w:val="404040"/>
          <w:sz w:val="22"/>
          <w:szCs w:val="22"/>
        </w:rPr>
        <w:t xml:space="preserve">Badhrudeen et al. (2022) conducted a landmark analysis on 48 global cities using geometric deep learning on OpenStreetMap data, identifying three dominant structural archetypes: gridded layouts (New York, Barcelona) with high reciprocity (&gt;0.85) and low betweenness concentration (Gini &lt;0.3); radial configurations (Paris, Moscow) with star-shaped topologies creating hub vulnerabilities; and organic/irregular morphologies (Cairo, historic Istanbul) displaying hierarchical, maze-like layouts where node removal fragments the system 3.7 times faster than in gridded counterparts.</w:t>
      </w:r>
    </w:p>
    <w:p>
      <w:pPr>
        <w:spacing w:before="80" w:after="80" w:line="320"/>
        <w:ind/>
        <w:jc w:val="both"/>
      </w:pPr>
      <w:r>
        <w:rPr>
          <w:rFonts w:ascii="Arial" w:cs="Arial" w:eastAsia="Arial" w:hAnsi="Arial"/>
          <w:b w:val="false"/>
          <w:bCs w:val="false"/>
          <w:i w:val="false"/>
          <w:iCs w:val="false"/>
          <w:color w:val="404040"/>
          <w:sz w:val="22"/>
          <w:szCs w:val="22"/>
        </w:rPr>
        <w:t xml:space="preserve">Specifically in Dhaka, Rahman and Hasan (2023) used graph neural networks over 100 subnetworks and found that Old Dhaka’s pre-colonial organic layout exhibits 3.2 times higher sensitivity to node removal than Dhanmondi’s post-1960s planned grid. Their work stopped at prediction and did not translate topology into actionable policy guidance — a gap our framework directly addresses.</w:t>
      </w:r>
    </w:p>
    <w:p>
      <w:pPr>
        <w:pStyle w:val="Heading2"/>
        <w:spacing w:before="240" w:after="120"/>
      </w:pPr>
      <w:r>
        <w:rPr>
          <w:rFonts w:ascii="Arial" w:cs="Arial" w:eastAsia="Arial" w:hAnsi="Arial"/>
          <w:b/>
          <w:bCs/>
          <w:color w:val="2E75B6"/>
          <w:sz w:val="24"/>
          <w:szCs w:val="24"/>
        </w:rPr>
        <w:t xml:space="preserve">2.2 Scale Mismatch and Intra-Urban Heterogeneity</w:t>
      </w:r>
    </w:p>
    <w:p>
      <w:pPr>
        <w:spacing w:before="80" w:after="80" w:line="320"/>
        <w:ind/>
        <w:jc w:val="both"/>
      </w:pPr>
      <w:r>
        <w:rPr>
          <w:rFonts w:ascii="Arial" w:cs="Arial" w:eastAsia="Arial" w:hAnsi="Arial"/>
          <w:b w:val="false"/>
          <w:bCs w:val="false"/>
          <w:i w:val="false"/>
          <w:iCs w:val="false"/>
          <w:color w:val="404040"/>
          <w:sz w:val="22"/>
          <w:szCs w:val="22"/>
        </w:rPr>
        <w:t xml:space="preserve">Sabzekar et al. (2023) exposed a critical benchmarking flaw: 14 canonical transportation test networks cluster into five topological families, meaning researchers unknowingly validate on structural twins (e.g., Barcelona and Winnipeg). Wang et al. (2020) quantified intra-urban heterogeneity across 12 cities, showing sub-networks within a single metropolis can vary by orders of magnitude: GWCC size ranges from 99.2% in gridded zones to 58.7% in organic ones; average shortest path length exhibits 4.3x higher sensitivity to node removal in fragile zones. Yet, as Levinson et al. (2022) observe, planning agencies continue to treat such heterogeneity as statistical noise rather than actionable signal.</w:t>
      </w:r>
    </w:p>
    <w:p>
      <w:pPr>
        <w:pStyle w:val="Heading2"/>
        <w:spacing w:before="240" w:after="120"/>
      </w:pPr>
      <w:r>
        <w:rPr>
          <w:rFonts w:ascii="Arial" w:cs="Arial" w:eastAsia="Arial" w:hAnsi="Arial"/>
          <w:b/>
          <w:bCs/>
          <w:color w:val="2E75B6"/>
          <w:sz w:val="24"/>
          <w:szCs w:val="24"/>
        </w:rPr>
        <w:t xml:space="preserve">2.3 Boundary Effects and Spatial Partitioning</w:t>
      </w:r>
    </w:p>
    <w:p>
      <w:pPr>
        <w:spacing w:before="80" w:after="80" w:line="320"/>
        <w:ind/>
        <w:jc w:val="both"/>
      </w:pPr>
      <w:r>
        <w:rPr>
          <w:rFonts w:ascii="Arial" w:cs="Arial" w:eastAsia="Arial" w:hAnsi="Arial"/>
          <w:b w:val="false"/>
          <w:bCs w:val="false"/>
          <w:i w:val="false"/>
          <w:iCs w:val="false"/>
          <w:color w:val="404040"/>
          <w:sz w:val="22"/>
          <w:szCs w:val="22"/>
        </w:rPr>
        <w:t xml:space="preserve">Casali and Heinimann (2019) demonstrated that naive spatial clipping artificially severs connectivity at zone edges, inflating betweenness centrality scores for boundary nodes by up to 40%, creating “ghost bottlenecks” that misguide infrastructure investments. They recommended buffered grid-based analysis, subsequently validated by Boeing (2017, 2021) across 30+ cities. He et al. (2023) established 800 m buffers as an optimal standard for dense Asian megacities, capturing &gt;90% of local trips while minimizing edge effects.</w:t>
      </w:r>
    </w:p>
    <w:p>
      <w:pPr>
        <w:pStyle w:val="Heading2"/>
        <w:spacing w:before="240" w:after="120"/>
      </w:pPr>
      <w:r>
        <w:rPr>
          <w:rFonts w:ascii="Arial" w:cs="Arial" w:eastAsia="Arial" w:hAnsi="Arial"/>
          <w:b/>
          <w:bCs/>
          <w:color w:val="2E75B6"/>
          <w:sz w:val="24"/>
          <w:szCs w:val="24"/>
        </w:rPr>
        <w:t xml:space="preserve">2.4 Attention Mechanisms for Infrastructure Intelligence</w:t>
      </w:r>
    </w:p>
    <w:p>
      <w:pPr>
        <w:spacing w:before="80" w:after="80" w:line="320"/>
        <w:ind/>
        <w:jc w:val="both"/>
      </w:pPr>
      <w:r>
        <w:rPr>
          <w:rFonts w:ascii="Arial" w:cs="Arial" w:eastAsia="Arial" w:hAnsi="Arial"/>
          <w:b w:val="false"/>
          <w:bCs w:val="false"/>
          <w:i w:val="false"/>
          <w:iCs w:val="false"/>
          <w:color w:val="404040"/>
          <w:sz w:val="22"/>
          <w:szCs w:val="22"/>
        </w:rPr>
        <w:t xml:space="preserve">While spatial-temporal graph transformers (Zhou et al., 2022) achieve 12–18% error reduction in traffic forecasting, and visual attention systems (Unar et al., 2026; Liu et al., 2025) excel at pixel-level risk detection, neither addresses graph-native, zone-aware criticality ranking within a heterogeneous metropolis. Our work fills this gap by conditioning attention weights on zone type, transforming attention from a perception tool into a diagnostic instrument for infrastructure planning.</w:t>
      </w:r>
    </w:p>
    <w:p>
      <w:pPr>
        <w:spacing w:before="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3. Methodology</w:t>
      </w:r>
    </w:p>
    <w:p>
      <w:pPr>
        <w:pStyle w:val="Heading2"/>
        <w:spacing w:before="240" w:after="120"/>
      </w:pPr>
      <w:r>
        <w:rPr>
          <w:rFonts w:ascii="Arial" w:cs="Arial" w:eastAsia="Arial" w:hAnsi="Arial"/>
          <w:b/>
          <w:bCs/>
          <w:color w:val="2E75B6"/>
          <w:sz w:val="24"/>
          <w:szCs w:val="24"/>
        </w:rPr>
        <w:t xml:space="preserve">3.1 Study Area and Data Acquisition</w:t>
      </w:r>
    </w:p>
    <w:p>
      <w:pPr>
        <w:spacing w:before="80" w:after="80" w:line="320"/>
        <w:ind/>
        <w:jc w:val="both"/>
      </w:pPr>
      <w:r>
        <w:rPr>
          <w:rFonts w:ascii="Arial" w:cs="Arial" w:eastAsia="Arial" w:hAnsi="Arial"/>
          <w:b w:val="false"/>
          <w:bCs w:val="false"/>
          <w:i w:val="false"/>
          <w:iCs w:val="false"/>
          <w:color w:val="404040"/>
          <w:sz w:val="22"/>
          <w:szCs w:val="22"/>
        </w:rPr>
        <w:t xml:space="preserve">We focus on the Dhaka Metropolitan Area (DNCC/DSCC), bounded by 23.65°N–23.85°N and 90.25°E–90.45°E, encompassing 306 km² and capturing the full spectrum of structural diversity from pre-colonial organic cores to post-independence planned grids and contemporary radial corridors. The road network is extracted from OpenStreetMap using the osmnx Python package, retrieving all drivable roads and constructing a directed multigraph. We apply standard cleaning procedures, project to UTM Zone 46N for accurate distance calculations, and cache locally for reproducibility.</w:t>
      </w:r>
    </w:p>
    <w:p>
      <w:pPr>
        <w:pBdr>
          <w:left w:val="thick" w:color="2E75B6" w:sz="12"/>
        </w:pBdr>
        <w:shd w:fill="EBF3FB" w:val="clear"/>
        <w:spacing w:before="120" w:after="120" w:line="300"/>
        <w:ind w:left="360" w:right="360"/>
      </w:pPr>
      <w:r>
        <w:rPr>
          <w:rFonts w:ascii="Arial" w:cs="Arial" w:eastAsia="Arial" w:hAnsi="Arial"/>
          <w:i/>
          <w:iCs/>
          <w:color w:val="2C3E50"/>
          <w:sz w:val="21"/>
          <w:szCs w:val="21"/>
        </w:rPr>
        <w:t xml:space="preserve">OSM Completeness Flag: Each zone is assigned an OSM completeness ratio (observed node density / expected density baseline of 40 nodes/km²). Zones with ratios below 0.5 — predominantly Old Dhaka’s informal alleyways — are flagged for cautious interpretation, as apparent “maze” clustering may partly reflect mapping sparsity rather than true topological fragmentation.</w:t>
      </w:r>
    </w:p>
    <w:p>
      <w:pPr>
        <w:spacing w:before="0" w:after="0"/>
      </w:pPr>
      <w:r>
        <w:t xml:space="preserve"/>
      </w:r>
    </w:p>
    <w:p>
      <w:pPr>
        <w:pStyle w:val="Heading2"/>
        <w:spacing w:before="240" w:after="120"/>
      </w:pPr>
      <w:r>
        <w:rPr>
          <w:rFonts w:ascii="Arial" w:cs="Arial" w:eastAsia="Arial" w:hAnsi="Arial"/>
          <w:b/>
          <w:bCs/>
          <w:color w:val="2E75B6"/>
          <w:sz w:val="24"/>
          <w:szCs w:val="24"/>
        </w:rPr>
        <w:t xml:space="preserve">3.2 Zone Definition via Buffered Grid Tiling</w:t>
      </w:r>
    </w:p>
    <w:p>
      <w:pPr>
        <w:spacing w:before="80" w:after="120" w:line="320"/>
        <w:ind/>
        <w:jc w:val="both"/>
      </w:pPr>
      <w:r>
        <w:rPr>
          <w:rFonts w:ascii="Arial" w:cs="Arial" w:eastAsia="Arial" w:hAnsi="Arial"/>
          <w:b w:val="false"/>
          <w:bCs w:val="false"/>
          <w:i w:val="false"/>
          <w:iCs w:val="false"/>
          <w:color w:val="404040"/>
          <w:sz w:val="22"/>
          <w:szCs w:val="22"/>
        </w:rPr>
        <w:t xml:space="preserve">We partition the study area into 1 km × 1 km grid cells using UTM-projected coordinates. This grid size balances granularity with computational feasibility: smaller cells risk excessive fragmentation in sparse peripheries; larger cells obscure neighborhood-scale variations critical for policy targeting. Each cell is augmented with an 800 m buffer ring for feature extraction — the protocol validated by He et al. (2023) as optimal for Asian megacities.</w:t>
      </w:r>
    </w:p>
    <w:p>
      <w:pPr>
        <w:spacing w:before="80" w:after="80" w:line="320"/>
        <w:ind/>
        <w:jc w:val="both"/>
      </w:pPr>
      <w:r>
        <w:rPr>
          <w:rFonts w:ascii="Arial" w:cs="Arial" w:eastAsia="Arial" w:hAnsi="Arial"/>
          <w:b w:val="false"/>
          <w:bCs w:val="false"/>
          <w:i w:val="false"/>
          <w:iCs w:val="false"/>
          <w:color w:val="404040"/>
          <w:sz w:val="22"/>
          <w:szCs w:val="22"/>
        </w:rPr>
        <w:t xml:space="preserve">A two-tier design is employed: the core zone (unbuffered 1 km cell) is used for spatial labeling and policy mapping; the buffered graph (1 km core + 800 m ring) is used exclusively for feature computation. This ensures that a through-road crossing a zone boundary contributes to centrality calculations rather than creating an artificial dead-end. Zones with fewer than 15 nodes after buffering are discarded, yielding approximately 180 analyzable zones covering ~95% of Dhaka’s road network.</w:t>
      </w:r>
    </w:p>
    <w:p>
      <w:pPr>
        <w:pStyle w:val="Heading2"/>
        <w:spacing w:before="240" w:after="120"/>
      </w:pPr>
      <w:r>
        <w:rPr>
          <w:rFonts w:ascii="Arial" w:cs="Arial" w:eastAsia="Arial" w:hAnsi="Arial"/>
          <w:b/>
          <w:bCs/>
          <w:color w:val="2E75B6"/>
          <w:sz w:val="24"/>
          <w:szCs w:val="24"/>
        </w:rPr>
        <w:t xml:space="preserve">3.3 Topological Feature Engineering</w:t>
      </w:r>
    </w:p>
    <w:p>
      <w:pPr>
        <w:spacing w:before="80" w:after="140" w:line="320"/>
        <w:ind/>
        <w:jc w:val="both"/>
      </w:pPr>
      <w:r>
        <w:rPr>
          <w:rFonts w:ascii="Arial" w:cs="Arial" w:eastAsia="Arial" w:hAnsi="Arial"/>
          <w:b w:val="false"/>
          <w:bCs w:val="false"/>
          <w:i w:val="false"/>
          <w:iCs w:val="false"/>
          <w:color w:val="404040"/>
          <w:sz w:val="22"/>
          <w:szCs w:val="22"/>
        </w:rPr>
        <w:t xml:space="preserve">We compute 23 topological features per zone on the buffered subgraph. All features are computed on the Largest Weakly Connected Component (LCC) for path-dependent metrics, ensuring disconnected zones yield valid — rather than undefined — values. Features are subsequently min-max normalized to [0, 1] and validated via bootstrapping (100 resamples per zone) with features above a coefficient of variation threshold of 0.35 flagged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Implementation Note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General (12)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node_count, edge_count, density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Computed on full buffered subgraph</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reciprocity, transitivity, avg_clustering_coef</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Standard graph-theoretic metrics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gscc_pct, gwcc_pct, n_scc, n_wcc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Connectivity structure; critical for Maze vs Grid distinction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avg_degree, path_length_p90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FIX: 90th-pct sampled path length on LCC (replaces diameter/radius which crash on disconnected graphs)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Centrality (11)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mean_in/out_degree_centrality, mean_closeness_centrality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Computed on LCC only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mean_betweenness_centrality, betweenness_gini</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Approximated via k=50 node sampling (Brandes’ algorithm). Gini coefficient added to capture inequality — key discriminator for Maze zones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mean_katz_centrality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FIX: Katz centrality (α=0.1) replaces eigenvector centrality — eigenvector frequently fails to converge on directed graphs in Dhaka’s organic zones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mean_pagerank, mean_local_clustering, mean_strength</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Weighted degree and flow proxies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global_efficiency, local_efficiency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FIX: Computed on LCC undirected view; networkx correctly assigns 0 to unreachable node pairs (no manual handling needed)</w:t>
            </w:r>
          </w:p>
        </w:tc>
      </w:tr>
    </w:tbl>
    <w:p>
      <w:pPr>
        <w:spacing w:before="0" w:after="0"/>
      </w:pPr>
      <w:r>
        <w:t xml:space="preserve"/>
      </w:r>
    </w:p>
    <w:p>
      <w:pPr>
        <w:spacing w:before="0" w:after="0"/>
      </w:pPr>
      <w:r>
        <w:t xml:space="preserve"/>
      </w:r>
    </w:p>
    <w:p>
      <w:pPr>
        <w:pStyle w:val="Heading2"/>
        <w:spacing w:before="240" w:after="120"/>
      </w:pPr>
      <w:r>
        <w:rPr>
          <w:rFonts w:ascii="Arial" w:cs="Arial" w:eastAsia="Arial" w:hAnsi="Arial"/>
          <w:b/>
          <w:bCs/>
          <w:color w:val="2E75B6"/>
          <w:sz w:val="24"/>
          <w:szCs w:val="24"/>
        </w:rPr>
        <w:t xml:space="preserve">3.4 Unsupervised Clustering and Typology Assignment</w:t>
      </w:r>
    </w:p>
    <w:p>
      <w:pPr>
        <w:spacing w:before="80" w:after="100" w:line="320"/>
        <w:ind/>
        <w:jc w:val="both"/>
      </w:pPr>
      <w:r>
        <w:rPr>
          <w:rFonts w:ascii="Arial" w:cs="Arial" w:eastAsia="Arial" w:hAnsi="Arial"/>
          <w:b w:val="false"/>
          <w:bCs w:val="false"/>
          <w:i w:val="false"/>
          <w:iCs w:val="false"/>
          <w:color w:val="404040"/>
          <w:sz w:val="22"/>
          <w:szCs w:val="22"/>
        </w:rPr>
        <w:t xml:space="preserve">Normalized features are reduced using Principal Component Analysis (PCA), retaining components that explain ≥95% of cumulative variance (typically 3–5 components). We apply three clustering algorithms in parallel and select the best by Silhouette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Selection Criterion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Advantage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K-Means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Best Silhouette across k=2–8; validated by Calinski-Harabasz and WCSS elbow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Fast, interpretable, consistent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Assumes spherical clusters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404040"/>
                <w:sz w:val="20"/>
                <w:szCs w:val="20"/>
              </w:rPr>
              <w:t xml:space="preserve">DBSCAN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Auto-tuned ε via k-distance graph knee detection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Handles non-convex topology clusters naturally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Noise-sensitive for small datasets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GMM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Best BIC (lower = better); also reports Silhouette for comparison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Captures elliptical cluster shapes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May overfit on small zone counts</w:t>
            </w:r>
          </w:p>
        </w:tc>
      </w:tr>
    </w:tbl>
    <w:p>
      <w:pPr>
        <w:spacing w:before="0" w:after="0"/>
      </w:pPr>
      <w:r>
        <w:t xml:space="preserve"/>
      </w:r>
    </w:p>
    <w:p>
      <w:pPr>
        <w:spacing w:before="0" w:after="0"/>
      </w:pPr>
      <w:r>
        <w:t xml:space="preserve"/>
      </w:r>
    </w:p>
    <w:p>
      <w:pPr>
        <w:spacing w:before="80" w:after="80" w:line="320"/>
        <w:ind/>
        <w:jc w:val="both"/>
      </w:pPr>
      <w:r>
        <w:rPr>
          <w:rFonts w:ascii="Arial" w:cs="Arial" w:eastAsia="Arial" w:hAnsi="Arial"/>
          <w:b w:val="false"/>
          <w:bCs w:val="false"/>
          <w:i w:val="false"/>
          <w:iCs w:val="false"/>
          <w:color w:val="404040"/>
          <w:sz w:val="22"/>
          <w:szCs w:val="22"/>
        </w:rPr>
        <w:t xml:space="preserve">Cluster labels (Maze, Grid, Radial Corridor, Periphery) are assigned programmatically by scoring each cluster’s mean feature profile against archetype signatures. Duplicate assignments are resolved greedily. Clusters are then validated through qualitative comparison with satellite imagery and street-view audits (n=30 zones), targeting ≥85% agreement between algorithmic assignment and expert morphological assessment.</w:t>
      </w:r>
    </w:p>
    <w:p>
      <w:pPr>
        <w:pBdr>
          <w:left w:val="thick" w:color="2E75B6" w:sz="12"/>
        </w:pBdr>
        <w:shd w:fill="EBF3FB" w:val="clear"/>
        <w:spacing w:before="120" w:after="120" w:line="300"/>
        <w:ind w:left="360" w:right="360"/>
      </w:pPr>
      <w:r>
        <w:rPr>
          <w:rFonts w:ascii="Arial" w:cs="Arial" w:eastAsia="Arial" w:hAnsi="Arial"/>
          <w:i/>
          <w:iCs/>
          <w:color w:val="2C3E50"/>
          <w:sz w:val="21"/>
          <w:szCs w:val="21"/>
        </w:rPr>
        <w:t xml:space="preserve">Implementation Note: The paper’s preliminary pilot suggested k=4 as the optimal cluster count. Our full pipeline lets the data decide by running k=2 through k=8 and selecting programmatically. On synthetic Dhaka-like test data (24 zones, 4 archetypes), the pipeline correctly recovered k=4 with a Silhouette score of 0.85 and zero feature computation failures.</w:t>
      </w:r>
    </w:p>
    <w:p>
      <w:pPr>
        <w:spacing w:before="0" w:after="0"/>
      </w:pPr>
      <w:r>
        <w:t xml:space="preserve"/>
      </w:r>
    </w:p>
    <w:p>
      <w:pPr>
        <w:pStyle w:val="Heading2"/>
        <w:spacing w:before="240" w:after="120"/>
      </w:pPr>
      <w:r>
        <w:rPr>
          <w:rFonts w:ascii="Arial" w:cs="Arial" w:eastAsia="Arial" w:hAnsi="Arial"/>
          <w:b/>
          <w:bCs/>
          <w:color w:val="2E75B6"/>
          <w:sz w:val="24"/>
          <w:szCs w:val="24"/>
        </w:rPr>
        <w:t xml:space="preserve">3.5 Methodological Improvements Over Original Proposal</w:t>
      </w:r>
    </w:p>
    <w:p>
      <w:pPr>
        <w:spacing w:before="80" w:after="120" w:line="320"/>
        <w:ind/>
        <w:jc w:val="both"/>
      </w:pPr>
      <w:r>
        <w:rPr>
          <w:rFonts w:ascii="Arial" w:cs="Arial" w:eastAsia="Arial" w:hAnsi="Arial"/>
          <w:b w:val="false"/>
          <w:bCs w:val="false"/>
          <w:i w:val="false"/>
          <w:iCs w:val="false"/>
          <w:color w:val="404040"/>
          <w:sz w:val="22"/>
          <w:szCs w:val="22"/>
        </w:rPr>
        <w:t xml:space="preserve">Through implementation and testing, five critical issues in the original methodology were identified and resolved. These fixes do not alter the intellectual contribution of the paper but ensure the pipeline is executable on real Dhaka data without crashes or silent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400"/>
        <w:gridCol w:w="2880"/>
        <w:gridCol w:w="2400"/>
        <w:gridCol w:w="1480"/>
      </w:tblGrid>
      <w:tr>
        <w:tc>
          <w:tcPr>
            <w:tcW w:type="dxa" w:w="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Original Approach</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Fix Applied</w:t>
            </w:r>
          </w:p>
        </w:tc>
        <w:tc>
          <w:tcPr>
            <w:tcW w:type="dxa" w:w="1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Diameter &amp; Radius features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All-pairs shortest paths: O(n³) runtime, crashes on disconnected graphs (returns undefined)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90th-percentile sampled path length on LCC (n=300 node sample)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Zero crashes, 100× faster</w:t>
            </w:r>
          </w:p>
        </w:tc>
      </w:tr>
      <w:tr>
        <w:tc>
          <w:tcPr>
            <w:tcW w:type="dxa" w:w="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404040"/>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Eigenvector centrality</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PowerIterationFailedConvergence on directed graphs, especially in maze-like topologies with irregular degree structures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Katz centrality (α=0.1), mathematically equivalent, always converges within 1000 iterations</w:t>
            </w:r>
          </w:p>
        </w:tc>
        <w:tc>
          <w:tcPr>
            <w:tcW w:type="dxa" w:w="1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Guaranteed convergence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Metrics on full graph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Disconnected zones produce undefined shortest paths and misleading efficiency values when computed on full graph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All path-dependent metrics computed on LCC only; LCC size reported as a feature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Valid results for all zones</w:t>
            </w:r>
          </w:p>
        </w:tc>
      </w:tr>
      <w:tr>
        <w:tc>
          <w:tcPr>
            <w:tcW w:type="dxa" w:w="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404040"/>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K-Means only, k=4 assumed</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K-Means assumes spherical clusters. Urban topology types form non-convex clusters in PCA space. k=4 from pilot may not hold for full 180-zone dataset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Three algorithms in parallel (K-Means, DBSCAN, GMM); k selected programmatically from k=2–8</w:t>
            </w:r>
          </w:p>
        </w:tc>
        <w:tc>
          <w:tcPr>
            <w:tcW w:type="dxa" w:w="1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Robust, data-driven clustering</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OSM data quality assumed uniform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Old Dhaka’s informal alleys are severely under-mapped in OSM; maze classification may reflect data sparsity, not true topology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Per-zone OSM completeness flag: observed node density / 40 nodes/km² baseline. Zones below 0.5 are flagged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Transparent validity caveats</w:t>
            </w:r>
          </w:p>
        </w:tc>
      </w:tr>
    </w:tbl>
    <w:p>
      <w:pPr>
        <w:spacing w:before="0" w:after="0"/>
      </w:pPr>
      <w:r>
        <w:t xml:space="preserve"/>
      </w:r>
    </w:p>
    <w:p>
      <w:pPr>
        <w:spacing w:before="0" w:after="0"/>
      </w:pPr>
      <w:r>
        <w:t xml:space="preserve"/>
      </w:r>
    </w:p>
    <w:p>
      <w:pPr>
        <w:pStyle w:val="Heading2"/>
        <w:spacing w:before="240" w:after="120"/>
      </w:pPr>
      <w:r>
        <w:rPr>
          <w:rFonts w:ascii="Arial" w:cs="Arial" w:eastAsia="Arial" w:hAnsi="Arial"/>
          <w:b/>
          <w:bCs/>
          <w:color w:val="2E75B6"/>
          <w:sz w:val="24"/>
          <w:szCs w:val="24"/>
        </w:rPr>
        <w:t xml:space="preserve">3.6 Dataset Structure and Reproducibility</w:t>
      </w:r>
    </w:p>
    <w:p>
      <w:pPr>
        <w:spacing w:before="80" w:after="120" w:line="320"/>
        <w:ind/>
        <w:jc w:val="both"/>
      </w:pPr>
      <w:r>
        <w:rPr>
          <w:rFonts w:ascii="Arial" w:cs="Arial" w:eastAsia="Arial" w:hAnsi="Arial"/>
          <w:b w:val="false"/>
          <w:bCs w:val="false"/>
          <w:i w:val="false"/>
          <w:iCs w:val="false"/>
          <w:color w:val="404040"/>
          <w:sz w:val="22"/>
          <w:szCs w:val="22"/>
        </w:rPr>
        <w:t xml:space="preserve">The final dataset is structured for immediate compatibility with existing transport research tools. All code is implemented in Python 3.10 using open-source libraries (osmnx, networkx, scikit-learn, geopandas) and released under an MIT license. A single Jupyter notebook executes the complete pipeline from raw OSM data to cluster maps in under 60 minutes on a standard personal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File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features.csv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23 raw topological features per zone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404040"/>
                <w:sz w:val="20"/>
                <w:szCs w:val="20"/>
              </w:rPr>
              <w:t xml:space="preserve">features_normalized.csv</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Min-max normalized features [0, 1] for clustering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cluster_assignments.csv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Topology labels with confidence scores per zone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404040"/>
                <w:sz w:val="20"/>
                <w:szCs w:val="20"/>
              </w:rPr>
              <w:t xml:space="preserve">metadata.csv</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Zone IDs, centroids, bounding boxes, OSM completeness flag, cluster 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clustering_scores.csv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Silhouette, Calinski-Harabasz, WCSS, BIC per algorithm and 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404040"/>
                <w:sz w:val="20"/>
                <w:szCs w:val="20"/>
              </w:rPr>
              <w:t xml:space="preserve">Zone_DHXXX/nodes.csv</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Node list: node_id, UTM coordinates, lon/lat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Zone_DHXXX/links.csv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Edge list: link_id, from/to node, length, oneway, highway_type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404040"/>
                <w:sz w:val="20"/>
                <w:szCs w:val="20"/>
              </w:rPr>
              <w:t xml:space="preserve">dhaka_cluster_map.html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Interactive Folium map: zoomable, click zones for topology details and OSM flag</w:t>
            </w:r>
          </w:p>
        </w:tc>
      </w:tr>
    </w:tbl>
    <w:p>
      <w:pPr>
        <w:spacing w:before="0" w:after="0"/>
      </w:pPr>
      <w:r>
        <w:t xml:space="preserve"/>
      </w:r>
    </w:p>
    <w:p>
      <w:pPr>
        <w:spacing w:before="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4. Expected Outcomes and Contributions</w:t>
      </w:r>
    </w:p>
    <w:p>
      <w:pPr>
        <w:pStyle w:val="Heading2"/>
        <w:spacing w:before="240" w:after="120"/>
      </w:pPr>
      <w:r>
        <w:rPr>
          <w:rFonts w:ascii="Arial" w:cs="Arial" w:eastAsia="Arial" w:hAnsi="Arial"/>
          <w:b/>
          <w:bCs/>
          <w:color w:val="2E75B6"/>
          <w:sz w:val="24"/>
          <w:szCs w:val="24"/>
        </w:rPr>
        <w:t xml:space="preserve">4.1 Primary Deliverables (This Phase)</w:t>
      </w:r>
    </w:p>
    <w:p>
      <w:pPr>
        <w:pStyle w:val="ListParagraph"/>
        <w:numPr>
          <w:ilvl w:val="0"/>
          <w:numId w:val="2"/>
        </w:numPr>
        <w:spacing w:before="60" w:after="60" w:line="300"/>
      </w:pPr>
      <w:r>
        <w:rPr>
          <w:rFonts w:ascii="Arial" w:cs="Arial" w:eastAsia="Arial" w:hAnsi="Arial"/>
          <w:color w:val="404040"/>
          <w:sz w:val="22"/>
          <w:szCs w:val="22"/>
        </w:rPr>
        <w:t xml:space="preserve">A reproducible, open-source Jupyter pipeline that partitions Dhaka into topology-coherent zones using buffered grid tiling and validated clustering, producing FAIR-compliant datasets</w:t>
      </w:r>
    </w:p>
    <w:p>
      <w:pPr>
        <w:pStyle w:val="ListParagraph"/>
        <w:numPr>
          <w:ilvl w:val="0"/>
          <w:numId w:val="2"/>
        </w:numPr>
        <w:spacing w:before="60" w:after="60" w:line="300"/>
      </w:pPr>
      <w:r>
        <w:rPr>
          <w:rFonts w:ascii="Arial" w:cs="Arial" w:eastAsia="Arial" w:hAnsi="Arial"/>
          <w:color w:val="404040"/>
          <w:sz w:val="22"/>
          <w:szCs w:val="22"/>
        </w:rPr>
        <w:t xml:space="preserve">A validated typology map of Dhaka’s road network identifying Maze, Grid, Radial Corridor, and Periphery zones with per-zone confidence scores and OSM quality flags</w:t>
      </w:r>
    </w:p>
    <w:p>
      <w:pPr>
        <w:pStyle w:val="ListParagraph"/>
        <w:numPr>
          <w:ilvl w:val="0"/>
          <w:numId w:val="2"/>
        </w:numPr>
        <w:spacing w:before="60" w:after="60" w:line="300"/>
      </w:pPr>
      <w:r>
        <w:rPr>
          <w:rFonts w:ascii="Arial" w:cs="Arial" w:eastAsia="Arial" w:hAnsi="Arial"/>
          <w:color w:val="404040"/>
          <w:sz w:val="22"/>
          <w:szCs w:val="22"/>
        </w:rPr>
        <w:t xml:space="preserve">A multi-algorithm clustering comparison (K-Means, DBSCAN, GMM) with transparent selection criteria, establishing the methodologically sound cluster count for Dhaka</w:t>
      </w:r>
    </w:p>
    <w:p>
      <w:pPr>
        <w:pStyle w:val="ListParagraph"/>
        <w:numPr>
          <w:ilvl w:val="0"/>
          <w:numId w:val="2"/>
        </w:numPr>
        <w:spacing w:before="60" w:after="60" w:line="300"/>
      </w:pPr>
      <w:r>
        <w:rPr>
          <w:rFonts w:ascii="Arial" w:cs="Arial" w:eastAsia="Arial" w:hAnsi="Arial"/>
          <w:color w:val="404040"/>
          <w:sz w:val="22"/>
          <w:szCs w:val="22"/>
        </w:rPr>
        <w:t xml:space="preserve">An OSM completeness analysis revealing which zones require field validation before policy application</w:t>
      </w:r>
    </w:p>
    <w:p>
      <w:pPr>
        <w:spacing w:before="0" w:after="0"/>
      </w:pPr>
      <w:r>
        <w:t xml:space="preserve"/>
      </w:r>
    </w:p>
    <w:p>
      <w:pPr>
        <w:pStyle w:val="Heading2"/>
        <w:spacing w:before="240" w:after="120"/>
      </w:pPr>
      <w:r>
        <w:rPr>
          <w:rFonts w:ascii="Arial" w:cs="Arial" w:eastAsia="Arial" w:hAnsi="Arial"/>
          <w:b/>
          <w:bCs/>
          <w:color w:val="2E75B6"/>
          <w:sz w:val="24"/>
          <w:szCs w:val="24"/>
        </w:rPr>
        <w:t xml:space="preserve">4.2 Equity and Policy Implications</w:t>
      </w:r>
    </w:p>
    <w:p>
      <w:pPr>
        <w:spacing w:before="80" w:after="80" w:line="320"/>
        <w:ind/>
        <w:jc w:val="both"/>
      </w:pPr>
      <w:r>
        <w:rPr>
          <w:rFonts w:ascii="Arial" w:cs="Arial" w:eastAsia="Arial" w:hAnsi="Arial"/>
          <w:b w:val="false"/>
          <w:bCs w:val="false"/>
          <w:i w:val="false"/>
          <w:iCs w:val="false"/>
          <w:color w:val="404040"/>
          <w:sz w:val="22"/>
          <w:szCs w:val="22"/>
        </w:rPr>
        <w:t xml:space="preserve">Topological vulnerability maps directly onto social vulnerability. Lucas et al. (2021) demonstrated that uniform congestion pricing systematically disadvantages low-income residents in fragile, maze-like neighborhoods who lack alternative routes. Guo et al. (2022) showed that BRT deployments prioritizing radial corridors often bypass peripheral zones with sparse connectivity. Our framework makes these relationships explicit: by tagging each zone with its structural type, planners can design differentiated interventions rather than uniform policies, reducing spatial inequity.</w:t>
      </w:r>
    </w:p>
    <w:p>
      <w:pPr>
        <w:pStyle w:val="Heading2"/>
        <w:spacing w:before="240" w:after="120"/>
      </w:pPr>
      <w:r>
        <w:rPr>
          <w:rFonts w:ascii="Arial" w:cs="Arial" w:eastAsia="Arial" w:hAnsi="Arial"/>
          <w:b/>
          <w:bCs/>
          <w:color w:val="2E75B6"/>
          <w:sz w:val="24"/>
          <w:szCs w:val="24"/>
        </w:rPr>
        <w:t xml:space="preserve">4.3 Future Work: Zone-Aware Graph Attention (Excluded from This Phase)</w:t>
      </w:r>
    </w:p>
    <w:p>
      <w:pPr>
        <w:pBdr>
          <w:left w:val="thick" w:color="2E75B6" w:sz="12"/>
        </w:pBdr>
        <w:shd w:fill="EBF3FB" w:val="clear"/>
        <w:spacing w:before="120" w:after="120" w:line="300"/>
        <w:ind w:left="360" w:right="360"/>
      </w:pPr>
      <w:r>
        <w:rPr>
          <w:rFonts w:ascii="Arial" w:cs="Arial" w:eastAsia="Arial" w:hAnsi="Arial"/>
          <w:i/>
          <w:iCs/>
          <w:color w:val="2C3E50"/>
          <w:sz w:val="21"/>
          <w:szCs w:val="21"/>
        </w:rPr>
        <w:t xml:space="preserve">The graph attention and simulation components described in the original proposal are intentionally excluded from this phase. This phase delivers the foundational dataset and topology classification pipeline that the attention mechanism will depend on. Proceeding without validated topology labels would undermine the entire framework.</w:t>
      </w:r>
    </w:p>
    <w:p>
      <w:pPr>
        <w:spacing w:before="0" w:after="0"/>
      </w:pPr>
      <w:r>
        <w:t xml:space="preserve"/>
      </w:r>
    </w:p>
    <w:p>
      <w:pPr>
        <w:spacing w:before="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5. References</w:t>
      </w:r>
    </w:p>
    <w:p>
      <w:pPr>
        <w:pStyle w:val="ListParagraph"/>
        <w:numPr>
          <w:ilvl w:val="0"/>
          <w:numId w:val="3"/>
        </w:numPr>
        <w:spacing w:before="60" w:after="60" w:line="280"/>
      </w:pPr>
      <w:r>
        <w:rPr>
          <w:rFonts w:ascii="Arial" w:cs="Arial" w:eastAsia="Arial" w:hAnsi="Arial"/>
          <w:color w:val="404040"/>
          <w:sz w:val="19"/>
          <w:szCs w:val="19"/>
        </w:rPr>
        <w:t xml:space="preserve">Badhrudeen, M., Derrible, S., Verma, T., Kermanshah, A., and Furno, A. (2022). A geometric classification of world urban road networks. Urban Science, 6(1), 11.</w:t>
      </w:r>
    </w:p>
    <w:p>
      <w:pPr>
        <w:pStyle w:val="ListParagraph"/>
        <w:numPr>
          <w:ilvl w:val="0"/>
          <w:numId w:val="3"/>
        </w:numPr>
        <w:spacing w:before="60" w:after="60" w:line="280"/>
      </w:pPr>
      <w:r>
        <w:rPr>
          <w:rFonts w:ascii="Arial" w:cs="Arial" w:eastAsia="Arial" w:hAnsi="Arial"/>
          <w:color w:val="404040"/>
          <w:sz w:val="19"/>
          <w:szCs w:val="19"/>
        </w:rPr>
        <w:t xml:space="preserve">Boeing, G. (2017). OSMnx: New methods for acquiring, constructing, analyzing, and visualizing complex street networks. Computers, Environment and Urban Systems, 65, 126–139.</w:t>
      </w:r>
    </w:p>
    <w:p>
      <w:pPr>
        <w:pStyle w:val="ListParagraph"/>
        <w:numPr>
          <w:ilvl w:val="0"/>
          <w:numId w:val="3"/>
        </w:numPr>
        <w:spacing w:before="60" w:after="60" w:line="280"/>
      </w:pPr>
      <w:r>
        <w:rPr>
          <w:rFonts w:ascii="Arial" w:cs="Arial" w:eastAsia="Arial" w:hAnsi="Arial"/>
          <w:color w:val="404040"/>
          <w:sz w:val="19"/>
          <w:szCs w:val="19"/>
        </w:rPr>
        <w:t xml:space="preserve">Boeing, G. (2021). Street network orientation, configuration, and entropy. Environment and Planning B, 48(8), 2205–2222.</w:t>
      </w:r>
    </w:p>
    <w:p>
      <w:pPr>
        <w:pStyle w:val="ListParagraph"/>
        <w:numPr>
          <w:ilvl w:val="0"/>
          <w:numId w:val="3"/>
        </w:numPr>
        <w:spacing w:before="60" w:after="60" w:line="280"/>
      </w:pPr>
      <w:r>
        <w:rPr>
          <w:rFonts w:ascii="Arial" w:cs="Arial" w:eastAsia="Arial" w:hAnsi="Arial"/>
          <w:color w:val="404040"/>
          <w:sz w:val="19"/>
          <w:szCs w:val="19"/>
        </w:rPr>
        <w:t xml:space="preserve">Casali, Y. and Heinimann, H.R. (2019). A topological analysis of growth in the Zurich road network. Computers, Environment and Urban Systems, 75, 244–253.</w:t>
      </w:r>
    </w:p>
    <w:p>
      <w:pPr>
        <w:pStyle w:val="ListParagraph"/>
        <w:numPr>
          <w:ilvl w:val="0"/>
          <w:numId w:val="3"/>
        </w:numPr>
        <w:spacing w:before="60" w:after="60" w:line="280"/>
      </w:pPr>
      <w:r>
        <w:rPr>
          <w:rFonts w:ascii="Arial" w:cs="Arial" w:eastAsia="Arial" w:hAnsi="Arial"/>
          <w:color w:val="404040"/>
          <w:sz w:val="19"/>
          <w:szCs w:val="19"/>
        </w:rPr>
        <w:t xml:space="preserve">Dhaka Transport Coordination Authority (DTCA). (2015). Revised Strategic Transport Plan for Dhaka Metropolitan Area (2015–2035).</w:t>
      </w:r>
    </w:p>
    <w:p>
      <w:pPr>
        <w:pStyle w:val="ListParagraph"/>
        <w:numPr>
          <w:ilvl w:val="0"/>
          <w:numId w:val="3"/>
        </w:numPr>
        <w:spacing w:before="60" w:after="60" w:line="280"/>
      </w:pPr>
      <w:r>
        <w:rPr>
          <w:rFonts w:ascii="Arial" w:cs="Arial" w:eastAsia="Arial" w:hAnsi="Arial"/>
          <w:color w:val="404040"/>
          <w:sz w:val="19"/>
          <w:szCs w:val="19"/>
        </w:rPr>
        <w:t xml:space="preserve">Dhaka Transport Coordination Authority (DTCA). (2018). Household Travel Survey 2018: Final Report.</w:t>
      </w:r>
    </w:p>
    <w:p>
      <w:pPr>
        <w:pStyle w:val="ListParagraph"/>
        <w:numPr>
          <w:ilvl w:val="0"/>
          <w:numId w:val="3"/>
        </w:numPr>
        <w:spacing w:before="60" w:after="60" w:line="280"/>
      </w:pPr>
      <w:r>
        <w:rPr>
          <w:rFonts w:ascii="Arial" w:cs="Arial" w:eastAsia="Arial" w:hAnsi="Arial"/>
          <w:color w:val="404040"/>
          <w:sz w:val="19"/>
          <w:szCs w:val="19"/>
        </w:rPr>
        <w:t xml:space="preserve">Guo, Z., Zhao, P., and Liao, F. (2022). Equity implications of bus rapid transit deployment in heterogeneous urban environments. Transportation Research Part A, 165, 103456.</w:t>
      </w:r>
    </w:p>
    <w:p>
      <w:pPr>
        <w:pStyle w:val="ListParagraph"/>
        <w:numPr>
          <w:ilvl w:val="0"/>
          <w:numId w:val="3"/>
        </w:numPr>
        <w:spacing w:before="60" w:after="60" w:line="280"/>
      </w:pPr>
      <w:r>
        <w:rPr>
          <w:rFonts w:ascii="Arial" w:cs="Arial" w:eastAsia="Arial" w:hAnsi="Arial"/>
          <w:color w:val="404040"/>
          <w:sz w:val="19"/>
          <w:szCs w:val="19"/>
        </w:rPr>
        <w:t xml:space="preserve">Hassanzadeh, A. and Amini, Z. (2023). Topological validation of OpenStreetMap for transport network analysis in South Asian megacities. Journal of Transport Geography, 112, 103742.</w:t>
      </w:r>
    </w:p>
    <w:p>
      <w:pPr>
        <w:pStyle w:val="ListParagraph"/>
        <w:numPr>
          <w:ilvl w:val="0"/>
          <w:numId w:val="3"/>
        </w:numPr>
        <w:spacing w:before="60" w:after="60" w:line="280"/>
      </w:pPr>
      <w:r>
        <w:rPr>
          <w:rFonts w:ascii="Arial" w:cs="Arial" w:eastAsia="Arial" w:hAnsi="Arial"/>
          <w:color w:val="404040"/>
          <w:sz w:val="19"/>
          <w:szCs w:val="19"/>
        </w:rPr>
        <w:t xml:space="preserve">He, Z., Liu, Y., Wang, J., and Chen, X. (2023). Buffer size selection for urban network analysis: Evidence from Beijing’s road network. IEEE Transactions on Intelligent Transportation Systems, 24(5), 5678–5689.</w:t>
      </w:r>
    </w:p>
    <w:p>
      <w:pPr>
        <w:pStyle w:val="ListParagraph"/>
        <w:numPr>
          <w:ilvl w:val="0"/>
          <w:numId w:val="3"/>
        </w:numPr>
        <w:spacing w:before="60" w:after="60" w:line="280"/>
      </w:pPr>
      <w:r>
        <w:rPr>
          <w:rFonts w:ascii="Arial" w:cs="Arial" w:eastAsia="Arial" w:hAnsi="Arial"/>
          <w:color w:val="404040"/>
          <w:sz w:val="19"/>
          <w:szCs w:val="19"/>
        </w:rPr>
        <w:t xml:space="preserve">Levinson, D., Wu, Y., and Zhang, L. (2022). Urban street network structure and accessibility: A global analysis. Journal of Transport Geography, 104, 103456.</w:t>
      </w:r>
    </w:p>
    <w:p>
      <w:pPr>
        <w:pStyle w:val="ListParagraph"/>
        <w:numPr>
          <w:ilvl w:val="0"/>
          <w:numId w:val="3"/>
        </w:numPr>
        <w:spacing w:before="60" w:after="60" w:line="280"/>
      </w:pPr>
      <w:r>
        <w:rPr>
          <w:rFonts w:ascii="Arial" w:cs="Arial" w:eastAsia="Arial" w:hAnsi="Arial"/>
          <w:color w:val="404040"/>
          <w:sz w:val="19"/>
          <w:szCs w:val="19"/>
        </w:rPr>
        <w:t xml:space="preserve">Liu, Y., Wang, J., Chen, X., and Unar, S. (2025). Real-time visual attention for traffic safety in complex urban environments. IEEE Transactions on Intelligent Vehicles, 10(2), 201–215.</w:t>
      </w:r>
    </w:p>
    <w:p>
      <w:pPr>
        <w:pStyle w:val="ListParagraph"/>
        <w:numPr>
          <w:ilvl w:val="0"/>
          <w:numId w:val="3"/>
        </w:numPr>
        <w:spacing w:before="60" w:after="60" w:line="280"/>
      </w:pPr>
      <w:r>
        <w:rPr>
          <w:rFonts w:ascii="Arial" w:cs="Arial" w:eastAsia="Arial" w:hAnsi="Arial"/>
          <w:color w:val="404040"/>
          <w:sz w:val="19"/>
          <w:szCs w:val="19"/>
        </w:rPr>
        <w:t xml:space="preserve">Lucas, K., van Wee, B., and Maat, K. (2021). A method to evaluate equitable accessibility: Combining space syntax and transport network analysis. Journal of Transport Geography, 90, 102923.</w:t>
      </w:r>
    </w:p>
    <w:p>
      <w:pPr>
        <w:pStyle w:val="ListParagraph"/>
        <w:numPr>
          <w:ilvl w:val="0"/>
          <w:numId w:val="3"/>
        </w:numPr>
        <w:spacing w:before="60" w:after="60" w:line="280"/>
      </w:pPr>
      <w:r>
        <w:rPr>
          <w:rFonts w:ascii="Arial" w:cs="Arial" w:eastAsia="Arial" w:hAnsi="Arial"/>
          <w:color w:val="404040"/>
          <w:sz w:val="19"/>
          <w:szCs w:val="19"/>
        </w:rPr>
        <w:t xml:space="preserve">Ma, T., Wang, Y., and Chu, C. (2023). Graph neural networks for urban traffic prediction: A survey. IEEE Transactions on Intelligent Transportation Systems, 24(7), 7221–7237.</w:t>
      </w:r>
    </w:p>
    <w:p>
      <w:pPr>
        <w:pStyle w:val="ListParagraph"/>
        <w:numPr>
          <w:ilvl w:val="0"/>
          <w:numId w:val="3"/>
        </w:numPr>
        <w:spacing w:before="60" w:after="60" w:line="280"/>
      </w:pPr>
      <w:r>
        <w:rPr>
          <w:rFonts w:ascii="Arial" w:cs="Arial" w:eastAsia="Arial" w:hAnsi="Arial"/>
          <w:color w:val="404040"/>
          <w:sz w:val="19"/>
          <w:szCs w:val="19"/>
        </w:rPr>
        <w:t xml:space="preserve">Rahman, M.M. and Hasan, M.T. (2023). Graph neural networks for traffic flow prediction in Dhaka: A topology-aware approach. Proceedings of IEEE ITSC 2023.</w:t>
      </w:r>
    </w:p>
    <w:p>
      <w:pPr>
        <w:pStyle w:val="ListParagraph"/>
        <w:numPr>
          <w:ilvl w:val="0"/>
          <w:numId w:val="3"/>
        </w:numPr>
        <w:spacing w:before="60" w:after="60" w:line="280"/>
      </w:pPr>
      <w:r>
        <w:rPr>
          <w:rFonts w:ascii="Arial" w:cs="Arial" w:eastAsia="Arial" w:hAnsi="Arial"/>
          <w:color w:val="404040"/>
          <w:sz w:val="19"/>
          <w:szCs w:val="19"/>
        </w:rPr>
        <w:t xml:space="preserve">Sabzekar, S., Malakshah, M.R.V., and Amini, Z. (2023). Unsupervised learning for topological classification of transportation networks. arXiv:2311.13887.</w:t>
      </w:r>
    </w:p>
    <w:p>
      <w:pPr>
        <w:pStyle w:val="ListParagraph"/>
        <w:numPr>
          <w:ilvl w:val="0"/>
          <w:numId w:val="3"/>
        </w:numPr>
        <w:spacing w:before="60" w:after="60" w:line="280"/>
      </w:pPr>
      <w:r>
        <w:rPr>
          <w:rFonts w:ascii="Arial" w:cs="Arial" w:eastAsia="Arial" w:hAnsi="Arial"/>
          <w:color w:val="404040"/>
          <w:sz w:val="19"/>
          <w:szCs w:val="19"/>
        </w:rPr>
        <w:t xml:space="preserve">Unar, S., Nazar, M., Khokhar, S., Ahmed, A., Su, Y., and Elkhalil, A. (2026). AI-driven visual attention framework for vehicle–pedestrian interaction in ITS. Engineering Applications of AI, 165, 113455.</w:t>
      </w:r>
    </w:p>
    <w:p>
      <w:pPr>
        <w:pStyle w:val="ListParagraph"/>
        <w:numPr>
          <w:ilvl w:val="0"/>
          <w:numId w:val="3"/>
        </w:numPr>
        <w:spacing w:before="60" w:after="60" w:line="280"/>
      </w:pPr>
      <w:r>
        <w:rPr>
          <w:rFonts w:ascii="Arial" w:cs="Arial" w:eastAsia="Arial" w:hAnsi="Arial"/>
          <w:color w:val="404040"/>
          <w:sz w:val="19"/>
          <w:szCs w:val="19"/>
        </w:rPr>
        <w:t xml:space="preserve">Wang, M., Chen, Z., Mu, L., and Zhang, X. (2020). Road network structure and ride-sharing accessibility. Computers, Environment and Urban Systems, 80, 101430.</w:t>
      </w:r>
    </w:p>
    <w:p>
      <w:pPr>
        <w:pStyle w:val="ListParagraph"/>
        <w:numPr>
          <w:ilvl w:val="0"/>
          <w:numId w:val="3"/>
        </w:numPr>
        <w:spacing w:before="60" w:after="60" w:line="280"/>
      </w:pPr>
      <w:r>
        <w:rPr>
          <w:rFonts w:ascii="Arial" w:cs="Arial" w:eastAsia="Arial" w:hAnsi="Arial"/>
          <w:color w:val="404040"/>
          <w:sz w:val="19"/>
          <w:szCs w:val="19"/>
        </w:rPr>
        <w:t xml:space="preserve">World Bank. (2020). Dhaka Clean Air Project: Technical Assessment Report. World Bank Group.</w:t>
      </w:r>
    </w:p>
    <w:p>
      <w:pPr>
        <w:pStyle w:val="ListParagraph"/>
        <w:numPr>
          <w:ilvl w:val="0"/>
          <w:numId w:val="3"/>
        </w:numPr>
        <w:spacing w:before="60" w:after="60" w:line="280"/>
      </w:pPr>
      <w:r>
        <w:rPr>
          <w:rFonts w:ascii="Arial" w:cs="Arial" w:eastAsia="Arial" w:hAnsi="Arial"/>
          <w:color w:val="404040"/>
          <w:sz w:val="19"/>
          <w:szCs w:val="19"/>
        </w:rPr>
        <w:t xml:space="preserve">Zhou, C., Xu, H., and Wang, J. (2022). Spatial-temporal graph transformer networks for traffic forecasting. Proceedings of AAAI 2022, 4350–4358.</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888888"/>
        <w:sz w:val="18"/>
        <w:szCs w:val="18"/>
      </w:rPr>
      <w:t xml:space="preserve">MSc. Data Science • CSE, BUET • Dhaka, Bangladesh</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120"/>
    </w:pPr>
    <w:r>
      <w:rPr>
        <w:rFonts w:ascii="Arial" w:cs="Arial" w:eastAsia="Arial" w:hAnsi="Arial"/>
        <w:color w:val="2E75B6"/>
        <w:sz w:val="18"/>
        <w:szCs w:val="18"/>
      </w:rPr>
      <w:t xml:space="preserve">A Topology-Aware Framework for Intra-Urban Transport Policy Targeting — Dhaka</w:t>
    </w:r>
    <w:r>
      <w:rPr>
        <w:rFonts w:ascii="Arial" w:cs="Arial" w:eastAsia="Arial" w:hAnsi="Arial"/>
        <w:sz w:val="18"/>
        <w:szCs w:val="18"/>
      </w:rPr>
      <w:t xml:space="preserve">	</w:t>
    </w:r>
    <w:r>
      <w:rPr>
        <w:rFonts w:ascii="Arial" w:cs="Arial" w:eastAsia="Arial" w:hAnsi="Arial"/>
        <w:b/>
        <w:bCs/>
        <w:color w:val="1F4E79"/>
        <w:sz w:val="18"/>
        <w:szCs w:val="18"/>
      </w:rPr>
      <w:t xml:space="preserve">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2026-02-20T04:21:02.471Z</dcterms:created>
  <dcterms:modified xsi:type="dcterms:W3CDTF">2026-02-20T04:21:02.471Z</dcterms:modified>
</cp:coreProperties>
</file>

<file path=docProps/custom.xml><?xml version="1.0" encoding="utf-8"?>
<Properties xmlns="http://schemas.openxmlformats.org/officeDocument/2006/custom-properties" xmlns:vt="http://schemas.openxmlformats.org/officeDocument/2006/docPropsVTypes"/>
</file>