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center"/>
      </w:pPr>
      <w:r>
        <w:rPr>
          <w:rFonts w:ascii="Arial" w:cs="Arial" w:eastAsia="Arial" w:hAnsi="Arial"/>
          <w:b/>
          <w:bCs/>
          <w:color w:val="1F3864"/>
          <w:sz w:val="38"/>
          <w:szCs w:val="38"/>
        </w:rPr>
        <w:t xml:space="preserve">A Topology-Aware, Graph Attention Framework</w:t>
      </w:r>
    </w:p>
    <w:p>
      <w:pPr>
        <w:spacing w:before="0" w:after="80"/>
        <w:jc w:val="center"/>
      </w:pPr>
      <w:r>
        <w:rPr>
          <w:rFonts w:ascii="Arial" w:cs="Arial" w:eastAsia="Arial" w:hAnsi="Arial"/>
          <w:b/>
          <w:bCs/>
          <w:color w:val="1F3864"/>
          <w:sz w:val="38"/>
          <w:szCs w:val="38"/>
        </w:rPr>
        <w:t xml:space="preserve">for Intra-Urban Transport Policy Targeting in Dhaka, Bangladesh</w:t>
      </w:r>
    </w:p>
    <w:p>
      <w:pPr>
        <w:pBdr>
          <w:bottom w:val="single" w:color="1F3864" w:sz="8" w:space="1"/>
        </w:pBdr>
        <w:spacing w:before="80" w:after="80"/>
      </w:pPr>
      <w:r>
        <w:t xml:space="preserve"/>
      </w:r>
    </w:p>
    <w:p>
      <w:pPr>
        <w:spacing w:before="40" w:after="0"/>
      </w:pPr>
      <w:r>
        <w:t xml:space="preserve"/>
      </w:r>
    </w:p>
    <w:p>
      <w:pPr>
        <w:spacing w:before="0" w:after="60"/>
        <w:jc w:val="center"/>
      </w:pPr>
      <w:r>
        <w:rPr>
          <w:rFonts w:ascii="Arial" w:cs="Arial" w:eastAsia="Arial" w:hAnsi="Arial"/>
          <w:i/>
          <w:iCs/>
          <w:color w:val="444444"/>
          <w:sz w:val="22"/>
          <w:szCs w:val="22"/>
        </w:rPr>
        <w:t xml:space="preserve">A Full-Cycle Research Report: V1–V4 Methodology Audit + Graph Attention Topology (GAT) Extension</w:t>
      </w:r>
    </w:p>
    <w:p>
      <w:pPr>
        <w:spacing w:before="60" w:after="0"/>
      </w:pPr>
      <w:r>
        <w:t xml:space="preserve"/>
      </w:r>
    </w:p>
    <w:p>
      <w:pPr>
        <w:spacing w:before="0" w:after="40"/>
        <w:jc w:val="center"/>
      </w:pPr>
      <w:r>
        <w:rPr>
          <w:rFonts w:ascii="Arial" w:cs="Arial" w:eastAsia="Arial" w:hAnsi="Arial"/>
          <w:b/>
          <w:bCs/>
          <w:color w:val="1F3864"/>
          <w:sz w:val="24"/>
          <w:szCs w:val="24"/>
        </w:rPr>
        <w:t xml:space="preserve">Mehzad Galib • Md. Sabbir Hossain</w:t>
      </w:r>
    </w:p>
    <w:p>
      <w:pPr>
        <w:spacing w:before="0" w:after="40"/>
        <w:jc w:val="center"/>
      </w:pPr>
      <w:r>
        <w:rPr>
          <w:rFonts w:ascii="Arial" w:cs="Arial" w:eastAsia="Arial" w:hAnsi="Arial"/>
          <w:color w:val="444444"/>
          <w:sz w:val="20"/>
          <w:szCs w:val="20"/>
        </w:rPr>
        <w:t xml:space="preserve">MSc. Data Science, Department of Computer Science and Engineering</w:t>
      </w:r>
    </w:p>
    <w:p>
      <w:pPr>
        <w:spacing w:before="0" w:after="40"/>
        <w:jc w:val="center"/>
      </w:pPr>
      <w:r>
        <w:rPr>
          <w:rFonts w:ascii="Arial" w:cs="Arial" w:eastAsia="Arial" w:hAnsi="Arial"/>
          <w:color w:val="444444"/>
          <w:sz w:val="20"/>
          <w:szCs w:val="20"/>
        </w:rPr>
        <w:t xml:space="preserve">Bangladesh University of Engineering and Technology (BUET)</w:t>
      </w:r>
    </w:p>
    <w:p>
      <w:pPr>
        <w:spacing w:before="0" w:after="240"/>
        <w:jc w:val="center"/>
      </w:pPr>
      <w:r>
        <w:rPr>
          <w:rFonts w:ascii="Arial" w:cs="Arial" w:eastAsia="Arial" w:hAnsi="Arial"/>
          <w:color w:val="666666"/>
          <w:sz w:val="20"/>
          <w:szCs w:val="20"/>
        </w:rPr>
        <w:t xml:space="preserve">March 2026</w:t>
      </w:r>
    </w:p>
    <w:p>
      <w:pPr>
        <w:pBdr>
          <w:bottom w:val="single" w:color="1F3864" w:sz="8" w:space="1"/>
        </w:pBdr>
        <w:spacing w:before="80" w:after="80"/>
      </w:pPr>
      <w:r>
        <w:t xml:space="preserve"/>
      </w:r>
    </w:p>
    <w:p>
      <w:pPr>
        <w:spacing w:before="60" w:after="0"/>
      </w:pPr>
      <w:r>
        <w:t xml:space="preserve"/>
      </w:r>
    </w:p>
    <w:p>
      <w:pPr>
        <w:spacing w:before="0" w:after="60"/>
        <w:jc w:val="center"/>
      </w:pPr>
      <w:r>
        <w:rPr>
          <w:rFonts w:ascii="Arial" w:cs="Arial" w:eastAsia="Arial" w:hAnsi="Arial"/>
          <w:b/>
          <w:bCs/>
          <w:color w:val="1F3864"/>
          <w:sz w:val="26"/>
          <w:szCs w:val="26"/>
        </w:rPr>
        <w:t xml:space="preserve">Abstract</w:t>
      </w:r>
    </w:p>
    <w:p>
      <w:pPr>
        <w:spacing w:before="60" w:after="80" w:line="300"/>
        <w:jc w:val="both"/>
      </w:pPr>
      <w:r>
        <w:rPr>
          <w:rFonts w:ascii="Arial" w:cs="Arial" w:eastAsia="Arial" w:hAnsi="Arial"/>
          <w:sz w:val="20"/>
          <w:szCs w:val="20"/>
        </w:rPr>
        <w:t xml:space="preserve">This report documents the complete methodology and findings of a multi-stage research programme into road network topology classification in Dhaka, Bangladesh, comprising four progressively refined unsupervised clustering versions (V1–V4) and a subsequent Graph Attention Topology (GAT) extension applied to the full metropolitan area. The V1–V4 stages systematically corrected failures in data acquisition (drive-only OSM exclusion of goli lanes), bounding box truncation (Uttara DOHS excluded in V1), feature engineering (reciprocity saturation, Gini formula error, raw path length size-confound), and labelling strategy (Western archetype imposition). Despite these progressive corrections, K-Means clustering with k = 2 consistently produced the strongest silhouette scores across all versions (0.366 in V1 to 0.551 in V4), with no configuration supporting the originally proposed four-cluster archetype structure. The persistent two-cluster result is interpreted as a structural finding: Dhaka’s road network is organised along a single connectivity axis rather than discrete morphological archetypes, a consequence of its 400-year layered development history.</w:t>
      </w:r>
    </w:p>
    <w:p>
      <w:pPr>
        <w:spacing w:before="40" w:after="0"/>
      </w:pPr>
      <w:r>
        <w:t xml:space="preserve"/>
      </w:r>
    </w:p>
    <w:p>
      <w:pPr>
        <w:spacing w:before="60" w:after="100" w:line="300"/>
        <w:jc w:val="both"/>
      </w:pPr>
      <w:r>
        <w:rPr>
          <w:rFonts w:ascii="Arial" w:cs="Arial" w:eastAsia="Arial" w:hAnsi="Arial"/>
          <w:sz w:val="20"/>
          <w:szCs w:val="20"/>
        </w:rPr>
        <w:t xml:space="preserve">The GAT extension operationalises these connectivity findings at the intersection level. Applying the exact Brandes betweenness centrality algorithm to 790 valid 1 km² zones (338,429 real OpenStreetMap intersections), the analysis reveals that a single intersection controls a mean of 38.0% of all optimal routing paths in its zone (median 37.4%), with 22.5% of zones exhibiting a dominant intersection commanding over 50% of zone routing. A Mann–Whitney U test confirms that the two topology clusters exhibit significantly different betweenness concentration profiles (U = 78,588; p = 3.97 × 10⁻³⁶). Critically, orientation entropy — the morphological feature with the strongest theoretical claim to separating planned from organic networks — has no significant correlation with maximum betweenness centrality (Spearman r = 0.02; p = 0.58), demonstrating that street geometry and routing vulnerability are orthogonal network properties. The joint conditioning of morphological cluster membership (V3) and exact betweenness analysis (GAT) produces a policy-actionable ranking of critical intersections across all 790 zones, with specific GPS-locatable master nodes identified as the highest-priority infrastructure intervention targets.</w:t>
      </w:r>
    </w:p>
    <w:p>
      <w:pPr>
        <w:spacing w:before="60" w:after="0"/>
      </w:pPr>
      <w:r>
        <w:t xml:space="preserve"/>
      </w:r>
    </w:p>
    <w:p>
      <w:pPr>
        <w:spacing w:before="0" w:after="40"/>
      </w:pPr>
      <w:r>
        <w:rPr>
          <w:rFonts w:ascii="Arial" w:cs="Arial" w:eastAsia="Arial" w:hAnsi="Arial"/>
          <w:b/>
          <w:bCs/>
          <w:color w:val="1F3864"/>
          <w:sz w:val="19"/>
          <w:szCs w:val="19"/>
        </w:rPr>
        <w:t xml:space="preserve">Keywords: </w:t>
      </w:r>
      <w:r>
        <w:rPr>
          <w:rFonts w:ascii="Arial" w:cs="Arial" w:eastAsia="Arial" w:hAnsi="Arial"/>
          <w:i/>
          <w:iCs/>
          <w:sz w:val="19"/>
          <w:szCs w:val="19"/>
        </w:rPr>
        <w:t xml:space="preserve">urban road network topology, betweenness centrality, graph attention, K-Means clustering, Dhaka, Bangladesh, transport policy, OSMnx, network resilience</w:t>
      </w:r>
    </w:p>
    <w:p>
      <w:r>
        <w:br w:type="page"/>
      </w:r>
    </w:p>
    <w:p>
      <w:pPr>
        <w:pStyle w:val="Heading1"/>
        <w:spacing w:before="360" w:after="180"/>
      </w:pPr>
      <w:r>
        <w:rPr>
          <w:rFonts w:ascii="Arial" w:cs="Arial" w:eastAsia="Arial" w:hAnsi="Arial"/>
          <w:b/>
          <w:bCs/>
          <w:color w:val="1F3864"/>
          <w:sz w:val="30"/>
          <w:szCs w:val="30"/>
        </w:rPr>
        <w:t xml:space="preserve">1.  Introduction</w:t>
      </w:r>
    </w:p>
    <w:p>
      <w:pPr>
        <w:spacing w:before="60" w:after="100" w:line="288"/>
        <w:jc w:val="both"/>
      </w:pPr>
      <w:r>
        <w:rPr>
          <w:rFonts w:ascii="Arial" w:cs="Arial" w:eastAsia="Arial" w:hAnsi="Arial"/>
          <w:sz w:val="20"/>
          <w:szCs w:val="20"/>
        </w:rPr>
        <w:t xml:space="preserve">Urban road network topology encodes the morphological history of a city. In cities of the Global North, this history has been sufficiently legible to support a well-established classification vocabulary: grid networks, radial-concentric patterns, organic mazes, and peripheral dendrites (Jiang &amp; Claramunt, 2004; Porta et al., 2006). These archetypes carry direct transport-policy implications. Grid zones support dispersed travel demand and regular bus routes. Radial corridors concentrate flow and suit trunk-and-feeder systems. Organic mazes resist motorised access and require non-motorised or micro-transit solutions.</w:t>
      </w:r>
    </w:p>
    <w:p>
      <w:pPr>
        <w:spacing w:before="60" w:after="0"/>
      </w:pPr>
      <w:r>
        <w:t xml:space="preserve"/>
      </w:r>
    </w:p>
    <w:p>
      <w:pPr>
        <w:spacing w:before="60" w:after="100" w:line="288"/>
        <w:jc w:val="both"/>
      </w:pPr>
      <w:r>
        <w:rPr>
          <w:rFonts w:ascii="Arial" w:cs="Arial" w:eastAsia="Arial" w:hAnsi="Arial"/>
          <w:sz w:val="20"/>
          <w:szCs w:val="20"/>
        </w:rPr>
        <w:t xml:space="preserve">Dhaka, the capital of Bangladesh and one of the world’s most densely populated megacities, presents a structurally different challenge. With a metropolitan population exceeding 22 million and road densities that locally exceed 25 km/km², the city has grown through 400 years of largely unplanned organic densification, punctuated by discontinuous RAJUK (Rajdhani Unnayan Kartripakkha) planned interventions at the neighbourhood scale (Islam, 2005; Mahmud, 2012). The coexistence of Moghul-era lane networks, post-independence planned sectors, river-radial development patterns, and informal agricultural-plot infill creates a morphological landscape that may not respond to standard Western classification frameworks.</w:t>
      </w:r>
    </w:p>
    <w:p>
      <w:pPr>
        <w:spacing w:before="60" w:after="0"/>
      </w:pPr>
      <w:r>
        <w:t xml:space="preserve"/>
      </w:r>
    </w:p>
    <w:p>
      <w:pPr>
        <w:spacing w:before="60" w:after="100" w:line="288"/>
        <w:jc w:val="both"/>
      </w:pPr>
      <w:r>
        <w:rPr>
          <w:rFonts w:ascii="Arial" w:cs="Arial" w:eastAsia="Arial" w:hAnsi="Arial"/>
          <w:sz w:val="20"/>
          <w:szCs w:val="20"/>
        </w:rPr>
        <w:t xml:space="preserve">This report documents two connected stages of a research programme that confronted this challenge:</w:t>
      </w:r>
    </w:p>
    <w:p>
      <w:pPr>
        <w:spacing w:before="40" w:after="0"/>
      </w:pPr>
      <w:r>
        <w:t xml:space="preserve"/>
      </w:r>
    </w:p>
    <w:p>
      <w:pPr>
        <w:pStyle w:val="ListParagraph"/>
        <w:numPr>
          <w:ilvl w:val="0"/>
          <w:numId w:val="2"/>
        </w:numPr>
        <w:spacing w:before="50" w:after="50" w:line="270"/>
      </w:pPr>
      <w:r>
        <w:rPr>
          <w:rFonts w:ascii="Arial" w:cs="Arial" w:eastAsia="Arial" w:hAnsi="Arial"/>
          <w:b/>
          <w:bCs/>
          <w:sz w:val="19"/>
          <w:szCs w:val="19"/>
        </w:rPr>
        <w:t xml:space="preserve">Stage 1 (V1–V4, Sections 2–6):</w:t>
      </w:r>
      <w:r>
        <w:rPr>
          <w:rFonts w:ascii="Arial" w:cs="Arial" w:eastAsia="Arial" w:hAnsi="Arial"/>
          <w:sz w:val="19"/>
          <w:szCs w:val="19"/>
        </w:rPr>
        <w:t xml:space="preserve"> A four-version methodological audit of unsupervised clustering applied to Dhaka’s 1 km and 2 km grid cells, progressively correcting identified failures and characterising what the data actually supports.</w:t>
      </w:r>
    </w:p>
    <w:p>
      <w:pPr>
        <w:pStyle w:val="ListParagraph"/>
        <w:numPr>
          <w:ilvl w:val="0"/>
          <w:numId w:val="2"/>
        </w:numPr>
        <w:spacing w:before="50" w:after="50" w:line="270"/>
      </w:pPr>
      <w:r>
        <w:rPr>
          <w:rFonts w:ascii="Arial" w:cs="Arial" w:eastAsia="Arial" w:hAnsi="Arial"/>
          <w:b/>
          <w:bCs/>
          <w:sz w:val="19"/>
          <w:szCs w:val="19"/>
        </w:rPr>
        <w:t xml:space="preserve">Stage 2 (GAT Extension, Sections 7–9):</w:t>
      </w:r>
      <w:r>
        <w:rPr>
          <w:rFonts w:ascii="Arial" w:cs="Arial" w:eastAsia="Arial" w:hAnsi="Arial"/>
          <w:sz w:val="19"/>
          <w:szCs w:val="19"/>
        </w:rPr>
        <w:t xml:space="preserve"> The Graph Attention Topology (GAT) pipeline, which extends the V3 clustering findings from zone-level morphological classification to intersection-level vulnerability identification using exact betweenness centrality on real OSM road graphs across 790 zones and 338,429 intersections.</w:t>
      </w:r>
    </w:p>
    <w:p>
      <w:pPr>
        <w:spacing w:before="80" w:after="0"/>
      </w:pPr>
      <w:r>
        <w:t xml:space="preserve"/>
      </w:r>
    </w:p>
    <w:p>
      <w:pPr>
        <w:spacing w:before="60" w:after="100" w:line="288"/>
        <w:jc w:val="both"/>
      </w:pPr>
      <w:r>
        <w:rPr>
          <w:rFonts w:ascii="Arial" w:cs="Arial" w:eastAsia="Arial" w:hAnsi="Arial"/>
          <w:sz w:val="20"/>
          <w:szCs w:val="20"/>
        </w:rPr>
        <w:t xml:space="preserve">The report argues that the conjunction of these two stages — morphological clustering (V3) and intersection-level betweenness analysis (GAT) — produces a richer policy output than either approach alone. The V3 cluster label provides the structural context (what kind of network is this zone?); the GAT betweenness score provides the consequence (which intersection, if disrupted, causes the most damage?). Together they constitute a topology-aware attention framework in which the same betweenness score carries different policy weight depending on the zone’s structural type.</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1.1  Dhaka as a Research Context</w:t>
      </w:r>
    </w:p>
    <w:p>
      <w:pPr>
        <w:spacing w:before="60" w:after="100" w:line="288"/>
        <w:jc w:val="both"/>
      </w:pPr>
      <w:r>
        <w:rPr>
          <w:rFonts w:ascii="Arial" w:cs="Arial" w:eastAsia="Arial" w:hAnsi="Arial"/>
          <w:sz w:val="20"/>
          <w:szCs w:val="20"/>
        </w:rPr>
        <w:t xml:space="preserve">Dhaka’s road network presents five historically distinct morphological logics operating simultaneously in the same geographic space (Islam, 2005): river-radial development from the Buriganga and Turag ghats; Moghul-era organic bazaar lane networks in the historic core; RAJUK post-independence sector grids (Dhanmondi, Gulshan, Uttara DOHS); ribbon development along arterial roads; and informal agricultural-plot infill in peri-urban transition zones. Unlike European cities where these logics tend to be spatially segregated at the district level, in Dhaka they are interleaved at the block level. A 1 km grid cell in Dhanmondi simultaneously contains planned rectangular super-blocks, curved lake-perimeter roads, and informal lanes behind housing blocks. No single archetype describes the mixture.</w:t>
      </w:r>
    </w:p>
    <w:p>
      <w:pPr>
        <w:spacing w:before="60" w:after="0"/>
      </w:pPr>
      <w:r>
        <w:t xml:space="preserve"/>
      </w:r>
    </w:p>
    <w:p>
      <w:pPr>
        <w:spacing w:before="60" w:after="100" w:line="288"/>
        <w:jc w:val="both"/>
      </w:pPr>
      <w:r>
        <w:rPr>
          <w:rFonts w:ascii="Arial" w:cs="Arial" w:eastAsia="Arial" w:hAnsi="Arial"/>
          <w:sz w:val="20"/>
          <w:szCs w:val="20"/>
        </w:rPr>
        <w:t xml:space="preserve">This interleaving has a direct consequence for quantitative analysis: features designed to discriminate morphological types in European cities tend to produce unimodal distributions in Dhaka. The most prominent example in this study is orientation entropy, which failed as a discriminator across all four versions despite being theoretically well-motivated and empirically effective in Boeing’s (2019) 100-city global analysis.</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1.2  Research Objectives</w:t>
      </w:r>
    </w:p>
    <w:p>
      <w:pPr>
        <w:spacing w:before="60" w:after="100" w:line="288"/>
        <w:jc w:val="both"/>
      </w:pPr>
      <w:r>
        <w:rPr>
          <w:rFonts w:ascii="Arial" w:cs="Arial" w:eastAsia="Arial" w:hAnsi="Arial"/>
          <w:sz w:val="20"/>
          <w:szCs w:val="20"/>
        </w:rPr>
        <w:t xml:space="preserve">This study pursued four connected objectives across its two stages:</w:t>
      </w:r>
    </w:p>
    <w:p>
      <w:pPr>
        <w:spacing w:before="40" w:after="0"/>
      </w:pPr>
      <w:r>
        <w:t xml:space="preserve"/>
      </w:r>
    </w:p>
    <w:p>
      <w:pPr>
        <w:pStyle w:val="ListParagraph"/>
        <w:numPr>
          <w:ilvl w:val="0"/>
          <w:numId w:val="3"/>
        </w:numPr>
        <w:spacing w:before="60" w:after="60" w:line="270"/>
      </w:pPr>
      <w:r>
        <w:rPr>
          <w:rFonts w:ascii="Arial" w:cs="Arial" w:eastAsia="Arial" w:hAnsi="Arial"/>
          <w:sz w:val="19"/>
          <w:szCs w:val="19"/>
        </w:rPr>
        <w:t xml:space="preserve">Extract Dhaka’s road network topology at the zone level with maximum completeness and methodological rigour, correcting identified failures in OSM extraction, feature computation, and clustering labelling.</w:t>
      </w:r>
    </w:p>
    <w:p>
      <w:pPr>
        <w:pStyle w:val="ListParagraph"/>
        <w:numPr>
          <w:ilvl w:val="0"/>
          <w:numId w:val="3"/>
        </w:numPr>
        <w:spacing w:before="60" w:after="60" w:line="270"/>
      </w:pPr>
      <w:r>
        <w:rPr>
          <w:rFonts w:ascii="Arial" w:cs="Arial" w:eastAsia="Arial" w:hAnsi="Arial"/>
          <w:sz w:val="19"/>
          <w:szCs w:val="19"/>
        </w:rPr>
        <w:t xml:space="preserve">Determine whether Dhaka’s road network supports the four-archetype typology (Maze, Grid, Radial Corridor, Periphery) proposed in the original framework, and characterise the actual clustering structure if it does not.</w:t>
      </w:r>
    </w:p>
    <w:p>
      <w:pPr>
        <w:pStyle w:val="ListParagraph"/>
        <w:numPr>
          <w:ilvl w:val="0"/>
          <w:numId w:val="3"/>
        </w:numPr>
        <w:spacing w:before="60" w:after="60" w:line="270"/>
      </w:pPr>
      <w:r>
        <w:rPr>
          <w:rFonts w:ascii="Arial" w:cs="Arial" w:eastAsia="Arial" w:hAnsi="Arial"/>
          <w:sz w:val="19"/>
          <w:szCs w:val="19"/>
        </w:rPr>
        <w:t xml:space="preserve">Extend the zone-level classification to the intersection level by computing exact betweenness centrality for every OSM intersection across all valid zones, identifying the highest-priority structural bottlenecks in the network.</w:t>
      </w:r>
    </w:p>
    <w:p>
      <w:pPr>
        <w:pStyle w:val="ListParagraph"/>
        <w:numPr>
          <w:ilvl w:val="0"/>
          <w:numId w:val="3"/>
        </w:numPr>
        <w:spacing w:before="60" w:after="60" w:line="270"/>
      </w:pPr>
      <w:r>
        <w:rPr>
          <w:rFonts w:ascii="Arial" w:cs="Arial" w:eastAsia="Arial" w:hAnsi="Arial"/>
          <w:sz w:val="19"/>
          <w:szCs w:val="19"/>
        </w:rPr>
        <w:t xml:space="preserve">Establish the analytical relationship between V3 morphological cluster membership and GAT betweenness concentration, providing the joint framework that constitutes the TCGA (Topology-Conditioned Graph Attention) policy-targeting contribution.</w:t>
      </w:r>
    </w:p>
    <w:p>
      <w:pPr>
        <w:spacing w:before="120" w:after="0"/>
      </w:pPr>
      <w:r>
        <w:t xml:space="preserve"/>
      </w:r>
    </w:p>
    <w:p>
      <w:r>
        <w:br w:type="page"/>
      </w:r>
    </w:p>
    <w:p>
      <w:pPr>
        <w:pStyle w:val="Heading1"/>
        <w:spacing w:before="360" w:after="180"/>
      </w:pPr>
      <w:r>
        <w:rPr>
          <w:rFonts w:ascii="Arial" w:cs="Arial" w:eastAsia="Arial" w:hAnsi="Arial"/>
          <w:b/>
          <w:bCs/>
          <w:color w:val="1F3864"/>
          <w:sz w:val="30"/>
          <w:szCs w:val="30"/>
        </w:rPr>
        <w:t xml:space="preserve">2.  Original Proposed Methodology and Executed Deviations</w:t>
      </w:r>
    </w:p>
    <w:p>
      <w:pPr>
        <w:pStyle w:val="Heading2"/>
        <w:spacing w:before="280" w:after="120"/>
      </w:pPr>
      <w:r>
        <w:rPr>
          <w:rFonts w:ascii="Arial" w:cs="Arial" w:eastAsia="Arial" w:hAnsi="Arial"/>
          <w:b/>
          <w:bCs/>
          <w:color w:val="2E75B6"/>
          <w:sz w:val="24"/>
          <w:szCs w:val="24"/>
        </w:rPr>
        <w:t xml:space="preserve">2.1  Original Proposed Approach</w:t>
      </w:r>
    </w:p>
    <w:p>
      <w:pPr>
        <w:spacing w:before="60" w:after="100" w:line="288"/>
        <w:jc w:val="both"/>
      </w:pPr>
      <w:r>
        <w:rPr>
          <w:rFonts w:ascii="Arial" w:cs="Arial" w:eastAsia="Arial" w:hAnsi="Arial"/>
          <w:sz w:val="20"/>
          <w:szCs w:val="20"/>
        </w:rPr>
        <w:t xml:space="preserve">The original research proposal specified a pipeline with the following elements:</w:t>
      </w:r>
    </w:p>
    <w:p>
      <w:pPr>
        <w:spacing w:before="40" w:after="0"/>
      </w:pPr>
      <w:r>
        <w:t xml:space="preserve"/>
      </w:r>
    </w:p>
    <w:p>
      <w:pPr>
        <w:pStyle w:val="ListParagraph"/>
        <w:numPr>
          <w:ilvl w:val="0"/>
          <w:numId w:val="3"/>
        </w:numPr>
        <w:spacing w:before="60" w:after="60" w:line="270"/>
      </w:pPr>
      <w:r>
        <w:rPr>
          <w:rFonts w:ascii="Arial" w:cs="Arial" w:eastAsia="Arial" w:hAnsi="Arial"/>
          <w:sz w:val="19"/>
          <w:szCs w:val="19"/>
        </w:rPr>
        <w:t xml:space="preserve">Extract Dhaka’s road network from OpenStreetMap using OSMnx within the bounding box 23.65°N–23.85°N, 90.25°E–90.45°E, using network_type=‘drive’</w:t>
      </w:r>
    </w:p>
    <w:p>
      <w:pPr>
        <w:pStyle w:val="ListParagraph"/>
        <w:numPr>
          <w:ilvl w:val="0"/>
          <w:numId w:val="3"/>
        </w:numPr>
        <w:spacing w:before="60" w:after="60" w:line="270"/>
      </w:pPr>
      <w:r>
        <w:rPr>
          <w:rFonts w:ascii="Arial" w:cs="Arial" w:eastAsia="Arial" w:hAnsi="Arial"/>
          <w:sz w:val="19"/>
          <w:szCs w:val="19"/>
        </w:rPr>
        <w:t xml:space="preserve">Tile the study area with a 1 km × 1 km grid with an 800 m buffer per cell</w:t>
      </w:r>
    </w:p>
    <w:p>
      <w:pPr>
        <w:pStyle w:val="ListParagraph"/>
        <w:numPr>
          <w:ilvl w:val="0"/>
          <w:numId w:val="3"/>
        </w:numPr>
        <w:spacing w:before="60" w:after="60" w:line="270"/>
      </w:pPr>
      <w:r>
        <w:rPr>
          <w:rFonts w:ascii="Arial" w:cs="Arial" w:eastAsia="Arial" w:hAnsi="Arial"/>
          <w:sz w:val="19"/>
          <w:szCs w:val="19"/>
        </w:rPr>
        <w:t xml:space="preserve">Compute 23 topological features per buffered zone subgraph</w:t>
      </w:r>
    </w:p>
    <w:p>
      <w:pPr>
        <w:pStyle w:val="ListParagraph"/>
        <w:numPr>
          <w:ilvl w:val="0"/>
          <w:numId w:val="3"/>
        </w:numPr>
        <w:spacing w:before="60" w:after="60" w:line="270"/>
      </w:pPr>
      <w:r>
        <w:rPr>
          <w:rFonts w:ascii="Arial" w:cs="Arial" w:eastAsia="Arial" w:hAnsi="Arial"/>
          <w:sz w:val="19"/>
          <w:szCs w:val="19"/>
        </w:rPr>
        <w:t xml:space="preserve">Apply PCA dimensionality reduction (target: 95% explained variance)</w:t>
      </w:r>
    </w:p>
    <w:p>
      <w:pPr>
        <w:pStyle w:val="ListParagraph"/>
        <w:numPr>
          <w:ilvl w:val="0"/>
          <w:numId w:val="3"/>
        </w:numPr>
        <w:spacing w:before="60" w:after="60" w:line="270"/>
      </w:pPr>
      <w:r>
        <w:rPr>
          <w:rFonts w:ascii="Arial" w:cs="Arial" w:eastAsia="Arial" w:hAnsi="Arial"/>
          <w:sz w:val="19"/>
          <w:szCs w:val="19"/>
        </w:rPr>
        <w:t xml:space="preserve">Apply K-Means clustering with k determined by silhouette, Calinski-Harabasz, and elbow criteria</w:t>
      </w:r>
    </w:p>
    <w:p>
      <w:pPr>
        <w:pStyle w:val="ListParagraph"/>
        <w:numPr>
          <w:ilvl w:val="0"/>
          <w:numId w:val="3"/>
        </w:numPr>
        <w:spacing w:before="60" w:after="60" w:line="270"/>
      </w:pPr>
      <w:r>
        <w:rPr>
          <w:rFonts w:ascii="Arial" w:cs="Arial" w:eastAsia="Arial" w:hAnsi="Arial"/>
          <w:sz w:val="19"/>
          <w:szCs w:val="19"/>
        </w:rPr>
        <w:t xml:space="preserve">Label clusters using four pre-defined archetypes: Maze, Grid, Radial Corridor, Periphery</w:t>
      </w:r>
    </w:p>
    <w:p>
      <w:pPr>
        <w:spacing w:before="80" w:after="0"/>
      </w:pPr>
      <w:r>
        <w:t xml:space="preserve"/>
      </w:r>
    </w:p>
    <w:p>
      <w:pPr>
        <w:spacing w:before="60" w:after="100" w:line="288"/>
        <w:jc w:val="both"/>
      </w:pPr>
      <w:r>
        <w:rPr>
          <w:rFonts w:ascii="Arial" w:cs="Arial" w:eastAsia="Arial" w:hAnsi="Arial"/>
          <w:sz w:val="20"/>
          <w:szCs w:val="20"/>
        </w:rPr>
        <w:t xml:space="preserve">The proposal anticipated k = 4 as the dominant result, consistent with a preliminary pilot analysis on 50 zones, and expected PCA to retain approximately 94% of variance in two to three components.</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2.2  Executed Deviations and Justifications</w:t>
      </w:r>
    </w:p>
    <w:p>
      <w:pPr>
        <w:spacing w:before="60" w:after="100" w:line="288"/>
        <w:jc w:val="both"/>
      </w:pPr>
      <w:r>
        <w:rPr>
          <w:rFonts w:ascii="Arial" w:cs="Arial" w:eastAsia="Arial" w:hAnsi="Arial"/>
          <w:sz w:val="20"/>
          <w:szCs w:val="20"/>
        </w:rPr>
        <w:t xml:space="preserve">Four significant deviations from the proposed methodology were made during execution, each motivated by identifiable failures in the preceding version: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Deviation</w:t>
            </w:r>
          </w:p>
        </w:tc>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Original Approach</w:t>
            </w:r>
          </w:p>
        </w:tc>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Executed Approach</w:t>
            </w:r>
          </w:p>
        </w:tc>
        <w:tc>
          <w:tcPr>
            <w:tcW w:type="dxa" w:w="3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Justification</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Network Type</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drive only</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all roads (footpaths, lanes, service roads)</w:t>
            </w:r>
          </w:p>
        </w:tc>
        <w:tc>
          <w:tcPr>
            <w:tcW w:type="dxa" w:w="3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drive-only excluded Old Dhaka’s defining goli lane network, misclassifying it as peripheral (Grid) due to sparse node counts. Old Dhaka has 400+ lane intersections invisible to drive extraction.</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Bounding Box</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north = 23.85°N</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north = 23.95°N (Uttara, Diabari included)</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V1 truncated the planned northern zones (Uttara DOHS) — the clearest Grid-archetype area in Dhaka — removing the reference population needed to distinguish planned from organic.</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Feature Set</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 features</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27 features: Gini corrected, reciprocity → orientation entropy, path length normalised, hub_dominance_ratio and wcc_fragmentation added</w:t>
            </w:r>
          </w:p>
        </w:tc>
        <w:tc>
          <w:tcPr>
            <w:tcW w:type="dxa" w:w="3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Gini formula produced negative values; reciprocity saturated at 0.98 across all zones (non-discriminating); raw path length had r = 0.86 correlation with node count.</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Labelling</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Archetypes imposed by formula scoring</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V1–V2: archetypes imposed. V3–V4: data-driven neutral labels (Cluster_0 / Cluster_1)</w:t>
            </w:r>
          </w:p>
        </w:tc>
        <w:tc>
          <w:tcPr>
            <w:tcW w:type="dxa" w:w="3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Archetype assignment forced Western typologies onto patterns inconsistent with Dhaka’s development history; removal tested whether the two-cluster structure was an artefact of the labelling system.</w:t>
            </w:r>
          </w:p>
        </w:tc>
      </w:tr>
    </w:tbl>
    <w:p>
      <w:pPr>
        <w:spacing w:before="200" w:after="0"/>
      </w:pPr>
      <w:r>
        <w:t xml:space="preserve"/>
      </w:r>
    </w:p>
    <w:p>
      <w:pPr>
        <w:pStyle w:val="Heading1"/>
        <w:spacing w:before="360" w:after="180"/>
      </w:pPr>
      <w:r>
        <w:rPr>
          <w:rFonts w:ascii="Arial" w:cs="Arial" w:eastAsia="Arial" w:hAnsi="Arial"/>
          <w:b/>
          <w:bCs/>
          <w:color w:val="1F3864"/>
          <w:sz w:val="30"/>
          <w:szCs w:val="30"/>
        </w:rPr>
        <w:t xml:space="preserve">3.  Feature Engineering: 27 Topological Features</w:t>
      </w:r>
    </w:p>
    <w:p>
      <w:pPr>
        <w:spacing w:before="60" w:after="100" w:line="288"/>
        <w:jc w:val="both"/>
      </w:pPr>
      <w:r>
        <w:rPr>
          <w:rFonts w:ascii="Arial" w:cs="Arial" w:eastAsia="Arial" w:hAnsi="Arial"/>
          <w:sz w:val="20"/>
          <w:szCs w:val="20"/>
        </w:rPr>
        <w:t xml:space="preserve">Twenty-seven topological features were computed per zone across V2–V4 (V1 used 23 features, missing orientation_entropy, wcc_fragmentation, hub_dominance_ratio, and path_length_p90_norm). Features fall into four functional groups: structural topology, connectivity corrections, centrality measures, and network efficiency.</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3.1  Structural Topology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Definition</w:t>
            </w:r>
          </w:p>
        </w:tc>
        <w:tc>
          <w:tcPr>
            <w:tcW w:type="dxa" w:w="4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Dhaka Context</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density</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Ratio of observed edges to maximum possible edges: m / [n(n−1)]</w:t>
            </w:r>
          </w:p>
        </w:tc>
        <w:tc>
          <w:tcPr>
            <w:tcW w:type="dxa" w:w="4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Planned RAJUK sectors show moderate-to-high density (regular intersections). Old Dhaka shows lower density despite more roads — many short-segment dead-ends reduce the ratio.</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transitivity</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Fraction of open triads that close into triangles in the undirected graph</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High transitivity indicates triangular road loops — characteristic of organic networks. Low values indicate tree-like or grid structures with few diagonal connections.</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avg_clustering_coef</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local clustering coefficient across all nodes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Similar interpretation to transitivity but computed locally. Distinguishes between zones where high connectivity is uniformly distributed vs. concentrated at a few hubs.</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avg_degree</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number of edges per node across both in- and out-degree</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Planned grids (4-way intersections) typically show avg_degree ≈ 4. Organic networks with many dead-ends show lower values; radial hubs show higher values at convergence points.</w:t>
            </w:r>
          </w:p>
        </w:tc>
      </w:tr>
      <w:tr>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n_scc / n_wcc</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Number of strongly / weakly connected components</w:t>
            </w:r>
          </w:p>
        </w:tc>
        <w:tc>
          <w:tcPr>
            <w:tcW w:type="dxa" w:w="4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High WCC count indicates spatial fragmentation — rivers, walls, railways creating isolated sub-networks. Peripheral zones under construction show high WCC counts.</w:t>
            </w:r>
          </w:p>
        </w:tc>
      </w:tr>
      <w:tr>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gscc_pct / gwcc_pct</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Percentage of nodes in the largest strongly/weakly connected component</w:t>
            </w:r>
          </w:p>
        </w:tc>
        <w:tc>
          <w:tcPr>
            <w:tcW w:type="dxa" w:w="4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Low gwcc_pct is the key indicator of peripheral zones where infrastructure is incomplete. Old Dhaka has high gwcc_pct despite morphological complexity — the lane network is thoroughly interconnected.</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3.2  Features Introduced in V2 (Methodological Corrections)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Definition</w:t>
            </w:r>
          </w:p>
        </w:tc>
        <w:tc>
          <w:tcPr>
            <w:tcW w:type="dxa" w:w="43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Why Introduced</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orientation_entropy</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Shannon entropy of street bearing angles (36 bins, 0–180°). H = −Σ pᵢ log₂ pᵢ</w:t>
            </w:r>
          </w:p>
        </w:tc>
        <w:tc>
          <w:tcPr>
            <w:tcW w:type="dxa" w:w="43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Replaces reciprocity (saturated at 0.98 across all zones). Planned grids exhibit two dominant bearing clusters ∵90° apart → low entropy. Organic networks have bearings spread across 180° → high entropy.</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wcc_fragmentation</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Ratio of WCC count to node count: n_wcc / n</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Detects peripheral zones where incomplete road construction leaves many isolated sub-networks. Designed to identify the Periphery archetype.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hub_dominance_ratio</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Ratio of maximum in-degree to mean in-degree within the LCC</w:t>
            </w:r>
          </w:p>
        </w:tc>
        <w:tc>
          <w:tcPr>
            <w:tcW w:type="dxa" w:w="43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Detects radial topology: a star-shaped network where many roads converge on a single hub. Designed to identify the Radial Corridor archetype.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path_length_p90_norm</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90th percentile shortest path length divided by √(node_count)</w:t>
            </w:r>
          </w:p>
        </w:tc>
        <w:tc>
          <w:tcPr>
            <w:tcW w:type="dxa" w:w="43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Corrects raw path length which had r = 0.86 correlation with node count. The normalised version captures routing efficiency independent of zone size.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 (corrected)</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Gini coefficient of the betweenness centrality distribution. G = Σ|xᵢ − xⱼ| / [2n·Σxᵢ] ∈ [0,1]</w:t>
            </w:r>
          </w:p>
        </w:tc>
        <w:tc>
          <w:tcPr>
            <w:tcW w:type="dxa" w:w="43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V1 used a broken formula producing negative values. Corrected Gini measures how unequally betweenness is distributed — high Gini = chokepoint-dominated network.</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3.3  Centrality Features</w:t>
      </w:r>
    </w:p>
    <w:p>
      <w:pPr>
        <w:spacing w:before="60" w:after="100" w:line="288"/>
        <w:jc w:val="both"/>
      </w:pPr>
      <w:r>
        <w:rPr>
          <w:rFonts w:ascii="Arial" w:cs="Arial" w:eastAsia="Arial" w:hAnsi="Arial"/>
          <w:sz w:val="20"/>
          <w:szCs w:val="20"/>
        </w:rPr>
        <w:t xml:space="preserve">Six centrality measures were computed on the Largest Connected Component (LCC) to ensure disconnected subgraphs did not distort averages. All are inherently size-normalised by NetworkX (reported as fractions of maximum possible values).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6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Interpretation in Urban Network Context</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mean_closeness_centrality</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How quickly each node can reach all others. High values indicate well-positioned nodes relative to the whole network — characteristic of grid zones where all nodes are equidistant from the network centre.</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mean_betweenness_centrality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Fraction of shortest paths passing through each node. High values with high Gini = concentrated chokepoints. Organic networks in Dhaka show this pattern: a few bazaar intersections (e.g. Nawabpur Road, Elephant Road) carry disproportionate flow.</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mean_katz_centrality</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 convergent alternative to eigenvector centrality (which failed on ∲12% of Dhaka zones). Measures influence propagation through the network.</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mean_pagerank</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Probability of arriving at a node by following random edges. High PageRank nodes are the preferred destinations of random walks — often major junctions in organic networks.</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global_efficiency</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Average reciprocal shortest path length: (1/n(n−1)) Σ 1/d(u,v). Measures how efficiently information/flow traverses the entire network. The primary connectivity quality indicator in this dataset.</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local_efficiency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Average global efficiency of each node’s direct neighbourhood. Measures fault tolerance — how well the local area remains connected if a node is removed.</w:t>
            </w:r>
          </w:p>
        </w:tc>
      </w:tr>
    </w:tbl>
    <w:p>
      <w:pPr>
        <w:spacing w:before="200" w:after="0"/>
      </w:pPr>
      <w:r>
        <w:t xml:space="preserve"/>
      </w:r>
    </w:p>
    <w:p>
      <w:pPr>
        <w:pStyle w:val="Heading1"/>
        <w:spacing w:before="360" w:after="180"/>
      </w:pPr>
      <w:r>
        <w:rPr>
          <w:rFonts w:ascii="Arial" w:cs="Arial" w:eastAsia="Arial" w:hAnsi="Arial"/>
          <w:b/>
          <w:bCs/>
          <w:color w:val="1F3864"/>
          <w:sz w:val="30"/>
          <w:szCs w:val="30"/>
        </w:rPr>
        <w:t xml:space="preserve">4.  Results: V1–V4 Methodology Audit</w:t>
      </w:r>
    </w:p>
    <w:p>
      <w:pPr>
        <w:pStyle w:val="Heading2"/>
        <w:spacing w:before="280" w:after="120"/>
      </w:pPr>
      <w:r>
        <w:rPr>
          <w:rFonts w:ascii="Arial" w:cs="Arial" w:eastAsia="Arial" w:hAnsi="Arial"/>
          <w:b/>
          <w:bCs/>
          <w:color w:val="2E75B6"/>
          <w:sz w:val="24"/>
          <w:szCs w:val="24"/>
        </w:rPr>
        <w:t xml:space="preserve">4.1  Version 1: Baseline — 1 km Grid, Drive Network, Imposed Archetypes</w:t>
      </w:r>
    </w:p>
    <w:p>
      <w:pPr>
        <w:pStyle w:val="Heading3"/>
        <w:spacing w:before="200" w:after="80"/>
      </w:pPr>
      <w:r>
        <w:rPr>
          <w:rFonts w:ascii="Arial" w:cs="Arial" w:eastAsia="Arial" w:hAnsi="Arial"/>
          <w:b/>
          <w:bCs/>
          <w:color w:val="333333"/>
          <w:sz w:val="21"/>
          <w:szCs w:val="21"/>
        </w:rPr>
        <w:t xml:space="preserve">4.1.1  Configuration</w:t>
      </w:r>
    </w:p>
    <w:p>
      <w:pPr>
        <w:spacing w:before="60" w:after="100" w:line="288"/>
        <w:jc w:val="both"/>
      </w:pPr>
      <w:r>
        <w:rPr>
          <w:rFonts w:ascii="Arial" w:cs="Arial" w:eastAsia="Arial" w:hAnsi="Arial"/>
          <w:sz w:val="20"/>
          <w:szCs w:val="20"/>
        </w:rPr>
        <w:t xml:space="preserve">V1 implemented the methodology as specified in the original proposal. The study area was bounded by 23.65°N–23.85°N, 90.25°E–90.45°E, and the OSMnx network_type=‘drive’ parameter was used. Cluster labels were assigned by scoring each K-Means cluster against four archetype profiles (Maze, Grid, Radial Corridor, Periphery) and selecting the nearest match.</w:t>
      </w:r>
    </w:p>
    <w:p>
      <w:pPr>
        <w:spacing w:before="60" w:after="0"/>
      </w:pPr>
      <w:r>
        <w:t xml:space="preserve"/>
      </w:r>
    </w:p>
    <w:p>
      <w:pPr>
        <w:pStyle w:val="Heading3"/>
        <w:spacing w:before="200" w:after="80"/>
      </w:pPr>
      <w:r>
        <w:rPr>
          <w:rFonts w:ascii="Arial" w:cs="Arial" w:eastAsia="Arial" w:hAnsi="Arial"/>
          <w:b/>
          <w:bCs/>
          <w:color w:val="333333"/>
          <w:sz w:val="21"/>
          <w:szCs w:val="21"/>
        </w:rPr>
        <w:t xml:space="preserve">4.1.2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Maze Cluster</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Grid Cluster</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 count</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266 (56.7%)</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203 (43.3%)</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confidence score</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0.761</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0.709</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node count</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719.3</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77.0</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global efficiency</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0.088</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0.238</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gwcc_pct</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93.2%</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82.7%</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K-Means silhouette (best k=2)</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0.366</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k=4 silhouette</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0.238 (−35%)</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vs k=2</w:t>
            </w:r>
          </w:p>
        </w:tc>
      </w:tr>
    </w:tbl>
    <w:p>
      <w:pPr>
        <w:spacing w:before="100" w:after="0"/>
      </w:pPr>
      <w:r>
        <w:t xml:space="preserve"/>
      </w:r>
    </w:p>
    <w:p>
      <w:pPr>
        <w:pStyle w:val="Heading3"/>
        <w:spacing w:before="200" w:after="80"/>
      </w:pPr>
      <w:r>
        <w:rPr>
          <w:rFonts w:ascii="Arial" w:cs="Arial" w:eastAsia="Arial" w:hAnsi="Arial"/>
          <w:b/>
          <w:bCs/>
          <w:color w:val="333333"/>
          <w:sz w:val="21"/>
          <w:szCs w:val="21"/>
        </w:rPr>
        <w:t xml:space="preserve">4.1.3  Interpretation and Identified Failures</w:t>
      </w:r>
    </w:p>
    <w:p>
      <w:pPr>
        <w:spacing w:before="60" w:after="100" w:line="288"/>
        <w:jc w:val="both"/>
      </w:pPr>
      <w:r>
        <w:rPr>
          <w:rFonts w:ascii="Arial" w:cs="Arial" w:eastAsia="Arial" w:hAnsi="Arial"/>
          <w:sz w:val="20"/>
          <w:szCs w:val="20"/>
        </w:rPr>
        <w:t xml:space="preserve">The V1 feature heatmap showed a perfectly binary pattern: every single feature was at its maximum value for one cluster and minimum for the other, with no gradient values. This is the diagnostic signature of a single dominant confounding variable overwhelming all others in feature space.</w:t>
      </w:r>
    </w:p>
    <w:p>
      <w:pPr>
        <w:spacing w:before="60" w:after="0"/>
      </w:pPr>
      <w:r>
        <w:t xml:space="preserve"/>
      </w:r>
    </w:p>
    <w:p>
      <w:pPr>
        <w:spacing w:before="60" w:after="100" w:line="288"/>
        <w:jc w:val="both"/>
      </w:pPr>
      <w:r>
        <w:rPr>
          <w:rFonts w:ascii="Arial" w:cs="Arial" w:eastAsia="Arial" w:hAnsi="Arial"/>
          <w:sz w:val="20"/>
          <w:szCs w:val="20"/>
        </w:rPr>
        <w:t xml:space="preserve">The critical evidence is the node count gap: Maze zones had a mean of 719 nodes while Grid zones had a mean of only 77 — a 9.3× difference that is inverted from what urban morphology would predict. Old Dhaka’s organic lane network should have more nodes than Uttara’s planned blocks, not fewer. The inversion occurred because network_type=‘drive’ excluded Old Dhaka’s goli lanes (rickshaw-accessible, not legally drivable) while capturing all of Uttara’s uniform grid streets. The clustering measured OSM coverage anisotropy by road classification, not urban morphology.</w:t>
      </w:r>
    </w:p>
    <w:p>
      <w:pPr>
        <w:spacing w:before="60" w:after="0"/>
      </w:pPr>
      <w:r>
        <w:t xml:space="preserve"/>
      </w:r>
    </w:p>
    <w:p>
      <w:pPr>
        <w:pBdr>
          <w:left w:val="single" w:color="C00000" w:sz="24" w:space="10"/>
        </w:pBdr>
        <w:spacing w:before="100" w:after="100" w:line="300"/>
        <w:ind w:left="360" w:right="120"/>
        <w:jc w:val="both"/>
      </w:pPr>
      <w:r>
        <w:rPr>
          <w:rFonts w:ascii="Arial" w:cs="Arial" w:eastAsia="Arial" w:hAnsi="Arial"/>
          <w:b/>
          <w:bCs/>
          <w:sz w:val="20"/>
          <w:szCs w:val="20"/>
        </w:rPr>
        <w:t xml:space="preserve">V1 core diagnosis:</w:t>
      </w:r>
      <w:r>
        <w:rPr>
          <w:rFonts w:ascii="Arial" w:cs="Arial" w:eastAsia="Arial" w:hAnsi="Arial"/>
          <w:sz w:val="20"/>
          <w:szCs w:val="20"/>
        </w:rPr>
        <w:t xml:space="preserve"> The algorithm correctly found k=2 and correctly identified two topologically distinct groups. However, the groups corresponded to OSM data completeness by road classification rather than urban morphological types. The label “Grid” was assigned to sparse-periphery zones and “Maze” to dense-core zones — both inverted from their intended meaning.</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4.2  Version 2: All-Roads Extraction, Expanded Bounding Box</w:t>
      </w:r>
    </w:p>
    <w:p>
      <w:pPr>
        <w:pStyle w:val="Heading3"/>
        <w:spacing w:before="200" w:after="80"/>
      </w:pPr>
      <w:r>
        <w:rPr>
          <w:rFonts w:ascii="Arial" w:cs="Arial" w:eastAsia="Arial" w:hAnsi="Arial"/>
          <w:b/>
          <w:bCs/>
          <w:color w:val="333333"/>
          <w:sz w:val="21"/>
          <w:szCs w:val="21"/>
        </w:rPr>
        <w:t xml:space="preserve">4.2.1  Configuration</w:t>
      </w:r>
    </w:p>
    <w:p>
      <w:pPr>
        <w:spacing w:before="60" w:after="100" w:line="288"/>
        <w:jc w:val="both"/>
      </w:pPr>
      <w:r>
        <w:rPr>
          <w:rFonts w:ascii="Arial" w:cs="Arial" w:eastAsia="Arial" w:hAnsi="Arial"/>
          <w:sz w:val="20"/>
          <w:szCs w:val="20"/>
        </w:rPr>
        <w:t xml:space="preserve">V2 corrected the two primary structural failures identified in V1: (1) network_type=‘drive’ was replaced by network_type=‘all’, capturing footpaths, goli lanes, service roads, and all OSM-tagged road segments; (2) the northern bounding box was extended to 23.95°N to include Uttara DOHS, Diabari, and the airport corridor. Four new features were added: orientation_entropy, wcc_fragmentation, hub_dominance_ratio, and path_length_p90_norm. The betweenness Gini formula was corrected.</w:t>
      </w:r>
    </w:p>
    <w:p>
      <w:pPr>
        <w:spacing w:before="60" w:after="0"/>
      </w:pPr>
      <w:r>
        <w:t xml:space="preserve"/>
      </w:r>
    </w:p>
    <w:p>
      <w:pPr>
        <w:pStyle w:val="Heading3"/>
        <w:spacing w:before="200" w:after="80"/>
      </w:pPr>
      <w:r>
        <w:rPr>
          <w:rFonts w:ascii="Arial" w:cs="Arial" w:eastAsia="Arial" w:hAnsi="Arial"/>
          <w:b/>
          <w:bCs/>
          <w:color w:val="333333"/>
          <w:sz w:val="21"/>
          <w:szCs w:val="21"/>
        </w:rPr>
        <w:t xml:space="preserve">4.2.2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Cluster_0 (Fragmented Peripheral)</w:t>
            </w:r>
          </w:p>
        </w:tc>
        <w:tc>
          <w:tcPr>
            <w:tcW w:type="dxa" w:w="312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Cluster_1 (Dense Organic Core)</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 count</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172 (20.9%)</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649 (79.1%)</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node count</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83.2</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544.1</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Orientation entropy</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3.560</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3.615</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wcc_fragmentation</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0.099</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0.020</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0.574</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0.673</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global efficiency</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0.275</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0.088</w:t>
            </w:r>
          </w:p>
        </w:tc>
      </w:tr>
      <w:tr>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K-Means silhouette (best k=2)</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0.420</w:t>
            </w:r>
          </w:p>
        </w:tc>
        <w:tc>
          <w:tcPr>
            <w:tcW w:type="dxa" w:w="312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t>
            </w:r>
          </w:p>
        </w:tc>
      </w:tr>
      <w:tr>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k=4 silhouette</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0.293 (−30%)</w:t>
            </w:r>
          </w:p>
        </w:tc>
        <w:tc>
          <w:tcPr>
            <w:tcW w:type="dxa" w:w="312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t>
            </w:r>
          </w:p>
        </w:tc>
      </w:tr>
    </w:tbl>
    <w:p>
      <w:pPr>
        <w:spacing w:before="100" w:after="0"/>
      </w:pPr>
      <w:r>
        <w:t xml:space="preserve"/>
      </w:r>
    </w:p>
    <w:p>
      <w:pPr>
        <w:pStyle w:val="Heading3"/>
        <w:spacing w:before="200" w:after="80"/>
      </w:pPr>
      <w:r>
        <w:rPr>
          <w:rFonts w:ascii="Arial" w:cs="Arial" w:eastAsia="Arial" w:hAnsi="Arial"/>
          <w:b/>
          <w:bCs/>
          <w:color w:val="333333"/>
          <w:sz w:val="21"/>
          <w:szCs w:val="21"/>
        </w:rPr>
        <w:t xml:space="preserve">4.2.3  Interpretation</w:t>
      </w:r>
    </w:p>
    <w:p>
      <w:pPr>
        <w:spacing w:before="60" w:after="100" w:line="288"/>
        <w:jc w:val="both"/>
      </w:pPr>
      <w:r>
        <w:rPr>
          <w:rFonts w:ascii="Arial" w:cs="Arial" w:eastAsia="Arial" w:hAnsi="Arial"/>
          <w:sz w:val="20"/>
          <w:szCs w:val="20"/>
        </w:rPr>
        <w:t xml:space="preserve">The all-roads extraction corrected the node-count inversion. Old Dhaka zones now contained their full lane network. The silhouette score improved from 0.366 to 0.420. However, the two-cluster structure persisted identically: a dense connected organic core (79%) versus a fragmented peripheral fringe (21%). Most critically, orientation_entropy showed a gap of only 0.055 between clusters — far below the threshold that would constitute discrimination. This was the first indication that orientation entropy would fail as a planned/organic separator in the Dhaka-specific geometric context.</w:t>
      </w:r>
    </w:p>
    <w:p>
      <w:pPr>
        <w:spacing w:before="60" w:after="0"/>
      </w:pPr>
      <w:r>
        <w:t xml:space="preserve"/>
      </w:r>
    </w:p>
    <w:p>
      <w:pPr>
        <w:pBdr>
          <w:left w:val="single" w:color="2E75B6" w:sz="24" w:space="10"/>
        </w:pBdr>
        <w:spacing w:before="100" w:after="100" w:line="300"/>
        <w:ind w:left="360" w:right="120"/>
        <w:jc w:val="both"/>
      </w:pPr>
      <w:r>
        <w:rPr>
          <w:rFonts w:ascii="Arial" w:cs="Arial" w:eastAsia="Arial" w:hAnsi="Arial"/>
          <w:b/>
          <w:bCs/>
          <w:sz w:val="20"/>
          <w:szCs w:val="20"/>
        </w:rPr>
        <w:t xml:space="preserve">V2 core finding:</w:t>
      </w:r>
      <w:r>
        <w:rPr>
          <w:rFonts w:ascii="Arial" w:cs="Arial" w:eastAsia="Arial" w:hAnsi="Arial"/>
          <w:sz w:val="20"/>
          <w:szCs w:val="20"/>
        </w:rPr>
        <w:t xml:space="preserve"> All-roads extraction and expanded bounding box produced a more statistically robust two-cluster result, but the two clusters corresponded to a connectivity spectrum (dense core vs. fragmented periphery), not the four morphological archetypes. The corrected orientation entropy feature failed as a discriminator due to Dhaka-specific geometric properties — most informal lanes follow historical land-parcel edges, producing moderate entropy comparable to the lake-perimeter curvature of planned zones.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4.3  Version 3: Data-Driven Labelling — 1 km Grid, All Roads, Neutral Clusters</w:t>
      </w:r>
    </w:p>
    <w:p>
      <w:pPr>
        <w:pStyle w:val="Heading3"/>
        <w:spacing w:before="200" w:after="80"/>
      </w:pPr>
      <w:r>
        <w:rPr>
          <w:rFonts w:ascii="Arial" w:cs="Arial" w:eastAsia="Arial" w:hAnsi="Arial"/>
          <w:b/>
          <w:bCs/>
          <w:color w:val="333333"/>
          <w:sz w:val="21"/>
          <w:szCs w:val="21"/>
        </w:rPr>
        <w:t xml:space="preserve">4.3.1  Configuration</w:t>
      </w:r>
    </w:p>
    <w:p>
      <w:pPr>
        <w:spacing w:before="60" w:after="100" w:line="288"/>
        <w:jc w:val="both"/>
      </w:pPr>
      <w:r>
        <w:rPr>
          <w:rFonts w:ascii="Arial" w:cs="Arial" w:eastAsia="Arial" w:hAnsi="Arial"/>
          <w:sz w:val="20"/>
          <w:szCs w:val="20"/>
        </w:rPr>
        <w:t xml:space="preserve">V3 retained the identical network, feature set, clustering algorithm, and spatial grid as V2. The sole change was removal of the archetype labelling system. Clusters were assigned neutral identifiers (Cluster_0, Cluster_1) and interpreted purely from their feature profiles. The intent was to test whether the two-cluster result was an artefact of the binary labelling system.</w:t>
      </w:r>
    </w:p>
    <w:p>
      <w:pPr>
        <w:spacing w:before="60" w:after="0"/>
      </w:pPr>
      <w:r>
        <w:t xml:space="preserve"/>
      </w:r>
    </w:p>
    <w:p>
      <w:pPr>
        <w:pStyle w:val="Heading3"/>
        <w:spacing w:before="200" w:after="80"/>
      </w:pPr>
      <w:r>
        <w:rPr>
          <w:rFonts w:ascii="Arial" w:cs="Arial" w:eastAsia="Arial" w:hAnsi="Arial"/>
          <w:b/>
          <w:bCs/>
          <w:color w:val="333333"/>
          <w:sz w:val="21"/>
          <w:szCs w:val="21"/>
        </w:rPr>
        <w:t xml:space="preserve">4.3.2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34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Cluster_0</w:t>
            </w:r>
          </w:p>
        </w:tc>
        <w:tc>
          <w:tcPr>
            <w:tcW w:type="dxa" w:w="34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Cluster_1</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 count</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184 (22.2%)</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643 (77.8%)</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confidence score</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0.675</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0.795</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node count</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51.6</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544.3</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Orientation entropy</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3.560</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3.580 (gap: 0.020)</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wcc_fragmentation</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0.099</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0.020 (gap: 0.079)</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betweenness_gini</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0.574</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0.675 (gap: 0.101)</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global efficiency</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0.286</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0.108 (gap: 0.178)</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gwcc_pct</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75.9%</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92.7% (gap: 16.8%)</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K-Means silhouette (best k=2)</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0.408 (marginal −0.012 vs V2)</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DBSCAN: single cluster</w:t>
            </w:r>
          </w:p>
        </w:tc>
      </w:tr>
    </w:tbl>
    <w:p>
      <w:pPr>
        <w:spacing w:before="100" w:after="0"/>
      </w:pPr>
      <w:r>
        <w:t xml:space="preserve"/>
      </w:r>
    </w:p>
    <w:p>
      <w:pPr>
        <w:pStyle w:val="Heading3"/>
        <w:spacing w:before="200" w:after="80"/>
      </w:pPr>
      <w:r>
        <w:rPr>
          <w:rFonts w:ascii="Arial" w:cs="Arial" w:eastAsia="Arial" w:hAnsi="Arial"/>
          <w:b/>
          <w:bCs/>
          <w:color w:val="333333"/>
          <w:sz w:val="21"/>
          <w:szCs w:val="21"/>
        </w:rPr>
        <w:t xml:space="preserve">4.3.3  Interpretation</w:t>
      </w:r>
    </w:p>
    <w:p>
      <w:pPr>
        <w:spacing w:before="60" w:after="100" w:line="288"/>
        <w:jc w:val="both"/>
      </w:pPr>
      <w:r>
        <w:rPr>
          <w:rFonts w:ascii="Arial" w:cs="Arial" w:eastAsia="Arial" w:hAnsi="Arial"/>
          <w:sz w:val="20"/>
          <w:szCs w:val="20"/>
        </w:rPr>
        <w:t xml:space="preserve">V3’s 827 zones produced results statistically indistinguishable from V2. The archetype removal produced no change in cluster structure: the same k=2, the same ∲78%/22% split, the same connectivity-axis separation. The feature heatmap showed an identical binary pattern.</w:t>
      </w:r>
    </w:p>
    <w:p>
      <w:pPr>
        <w:spacing w:before="60" w:after="0"/>
      </w:pPr>
      <w:r>
        <w:t xml:space="preserve"/>
      </w:r>
    </w:p>
    <w:p>
      <w:pPr>
        <w:spacing w:before="60" w:after="100" w:line="288"/>
        <w:jc w:val="both"/>
      </w:pPr>
      <w:r>
        <w:rPr>
          <w:rFonts w:ascii="Arial" w:cs="Arial" w:eastAsia="Arial" w:hAnsi="Arial"/>
          <w:sz w:val="20"/>
          <w:szCs w:val="20"/>
        </w:rPr>
        <w:t xml:space="preserve">The cluster profiles are interpretable without archetype labels. Cluster_0 (22.2%) represents fragmented peripheral zones: lower gwcc_pct (75.9%), indicating many isolated components. These zones correspond spatially to the periphery — Keraniganj, Savar edge, Tongi fringe — where road construction is incomplete. Cluster_1 (77.8%) represents the dense, connected urban core: high gwcc_pct (92.7%), high betweenness Gini (0.675 — few critical junction bottlenecks), and high hub_dominance_ratio (1.716).</w:t>
      </w:r>
    </w:p>
    <w:p>
      <w:pPr>
        <w:spacing w:before="60" w:after="0"/>
      </w:pPr>
      <w:r>
        <w:t xml:space="preserve"/>
      </w:r>
    </w:p>
    <w:p>
      <w:pPr>
        <w:pBdr>
          <w:left w:val="single" w:color="2E75B6" w:sz="24" w:space="10"/>
        </w:pBdr>
        <w:spacing w:before="100" w:after="100" w:line="300"/>
        <w:ind w:left="360" w:right="120"/>
        <w:jc w:val="both"/>
      </w:pPr>
      <w:r>
        <w:rPr>
          <w:rFonts w:ascii="Arial" w:cs="Arial" w:eastAsia="Arial" w:hAnsi="Arial"/>
          <w:b/>
          <w:bCs/>
          <w:sz w:val="20"/>
          <w:szCs w:val="20"/>
        </w:rPr>
        <w:t xml:space="preserve">V3 core finding:</w:t>
      </w:r>
      <w:r>
        <w:rPr>
          <w:rFonts w:ascii="Arial" w:cs="Arial" w:eastAsia="Arial" w:hAnsi="Arial"/>
          <w:sz w:val="20"/>
          <w:szCs w:val="20"/>
        </w:rPr>
        <w:t xml:space="preserve"> Removing Western archetype labels produced no change in cluster structure, confirming that the two-cluster result is not an artefact of the labelling system. The persistent two clusters represent a connectivity spectrum that is real and structurally coherent, but does not correspond to morphological archetypes.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4.4  Version 4: Scale Experiment — 2 km Grid, All Roads</w:t>
      </w:r>
    </w:p>
    <w:p>
      <w:pPr>
        <w:pStyle w:val="Heading3"/>
        <w:spacing w:before="200" w:after="80"/>
      </w:pPr>
      <w:r>
        <w:rPr>
          <w:rFonts w:ascii="Arial" w:cs="Arial" w:eastAsia="Arial" w:hAnsi="Arial"/>
          <w:b/>
          <w:bCs/>
          <w:color w:val="333333"/>
          <w:sz w:val="21"/>
          <w:szCs w:val="21"/>
        </w:rPr>
        <w:t xml:space="preserve">4.4.1  Configuration</w:t>
      </w:r>
    </w:p>
    <w:p>
      <w:pPr>
        <w:spacing w:before="60" w:after="100" w:line="288"/>
        <w:jc w:val="both"/>
      </w:pPr>
      <w:r>
        <w:rPr>
          <w:rFonts w:ascii="Arial" w:cs="Arial" w:eastAsia="Arial" w:hAnsi="Arial"/>
          <w:sz w:val="20"/>
          <w:szCs w:val="20"/>
        </w:rPr>
        <w:t xml:space="preserve">V4 tested the hypothesis that the 1 km grid cell lies between Dhaka’s two meaningful morphological scales (micro block structure at 100–300 m, neighbourhood coherence at 3–5 km). Increasing the cell size to 2 km × 2 km (with a proportionally scaled 1,200 m buffer) was expected to approach the neighbourhood scale, potentially allowing genuinely different neighbourhoods to fall within single cells and produce more distinct cluster signatures.</w:t>
      </w:r>
    </w:p>
    <w:p>
      <w:pPr>
        <w:spacing w:before="60" w:after="0"/>
      </w:pPr>
      <w:r>
        <w:t xml:space="preserve"/>
      </w:r>
    </w:p>
    <w:p>
      <w:pPr>
        <w:pStyle w:val="Heading3"/>
        <w:spacing w:before="200" w:after="80"/>
      </w:pPr>
      <w:r>
        <w:rPr>
          <w:rFonts w:ascii="Arial" w:cs="Arial" w:eastAsia="Arial" w:hAnsi="Arial"/>
          <w:b/>
          <w:bCs/>
          <w:color w:val="333333"/>
          <w:sz w:val="21"/>
          <w:szCs w:val="21"/>
        </w:rPr>
        <w:t xml:space="preserve">4.4.2  Numerical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34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Cluster_0 (Dense Urban Core)</w:t>
            </w:r>
          </w:p>
        </w:tc>
        <w:tc>
          <w:tcPr>
            <w:tcW w:type="dxa" w:w="348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Cluster_1 (Sparse Peripheral)</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 count</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206 (91.2%)</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20 (8.8%)</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node count</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1,264.7</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83.8</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Orientation entropy</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3.700</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3.650 (gap: 0.050)</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wcc_fragmentation</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0.014</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0.089 (gap: 0.075)</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0.716</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0.596 (gap: 0.120)</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global efficiency</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0.079</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0.255 (gap: 0.176)</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gwcc_pct</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93.6%</w:t>
            </w:r>
          </w:p>
        </w:tc>
        <w:tc>
          <w:tcPr>
            <w:tcW w:type="dxa" w:w="348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61.4% (gap: 32.2%)</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K-Means silhouette</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0.551 (↑+0.143 vs V3)</w:t>
            </w:r>
          </w:p>
        </w:tc>
        <w:tc>
          <w:tcPr>
            <w:tcW w:type="dxa" w:w="348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k=4 silhouette: 0.211</w:t>
            </w:r>
          </w:p>
        </w:tc>
      </w:tr>
    </w:tbl>
    <w:p>
      <w:pPr>
        <w:spacing w:before="100" w:after="0"/>
      </w:pPr>
      <w:r>
        <w:t xml:space="preserve"/>
      </w:r>
    </w:p>
    <w:p>
      <w:pPr>
        <w:pStyle w:val="Heading3"/>
        <w:spacing w:before="200" w:after="80"/>
      </w:pPr>
      <w:r>
        <w:rPr>
          <w:rFonts w:ascii="Arial" w:cs="Arial" w:eastAsia="Arial" w:hAnsi="Arial"/>
          <w:b/>
          <w:bCs/>
          <w:color w:val="333333"/>
          <w:sz w:val="21"/>
          <w:szCs w:val="21"/>
        </w:rPr>
        <w:t xml:space="preserve">4.4.3  Interpretation</w:t>
      </w:r>
    </w:p>
    <w:p>
      <w:pPr>
        <w:spacing w:before="60" w:after="100" w:line="288"/>
        <w:jc w:val="both"/>
      </w:pPr>
      <w:r>
        <w:rPr>
          <w:rFonts w:ascii="Arial" w:cs="Arial" w:eastAsia="Arial" w:hAnsi="Arial"/>
          <w:sz w:val="20"/>
          <w:szCs w:val="20"/>
        </w:rPr>
        <w:t xml:space="preserve">V4 produced the highest silhouette score across all versions (0.551), representing a 34% improvement over V1 and a 35% improvement over V3. However, the cluster split became dramatically more extreme: 91%/9%, compared to 78%/22% in V3. The 2 km cells are large enough to encompass entire neighbourhoods, but those neighbourhoods are almost universally dominated by the high-density connected urban core. Only 20 cells fell into the peripheral sparse cluster, corresponding to the far edges of the metropolitan area.</w:t>
      </w:r>
    </w:p>
    <w:p>
      <w:pPr>
        <w:spacing w:before="60" w:after="0"/>
      </w:pPr>
      <w:r>
        <w:t xml:space="preserve"/>
      </w:r>
    </w:p>
    <w:p>
      <w:pPr>
        <w:spacing w:before="60" w:after="100" w:line="288"/>
        <w:jc w:val="both"/>
      </w:pPr>
      <w:r>
        <w:rPr>
          <w:rFonts w:ascii="Arial" w:cs="Arial" w:eastAsia="Arial" w:hAnsi="Arial"/>
          <w:sz w:val="20"/>
          <w:szCs w:val="20"/>
        </w:rPr>
        <w:t xml:space="preserve">The orientation_entropy again showed no discriminating power (gap of 0.050). Cluster separation at 2 km is driven exclusively by the same features that drove V2 and V3: global efficiency, gwcc_pct, wcc_fragmentation, and betweenness_gini — all measures of connectivity level rather than morphological type.</w:t>
      </w:r>
    </w:p>
    <w:p>
      <w:pPr>
        <w:spacing w:before="60" w:after="0"/>
      </w:pPr>
      <w:r>
        <w:t xml:space="preserve"/>
      </w:r>
    </w:p>
    <w:p>
      <w:pPr>
        <w:pBdr>
          <w:left w:val="single" w:color="2E75B6" w:sz="24" w:space="10"/>
        </w:pBdr>
        <w:spacing w:before="100" w:after="100" w:line="300"/>
        <w:ind w:left="360" w:right="120"/>
        <w:jc w:val="both"/>
      </w:pPr>
      <w:r>
        <w:rPr>
          <w:rFonts w:ascii="Arial" w:cs="Arial" w:eastAsia="Arial" w:hAnsi="Arial"/>
          <w:b/>
          <w:bCs/>
          <w:sz w:val="20"/>
          <w:szCs w:val="20"/>
        </w:rPr>
        <w:t xml:space="preserve">V4 core finding:</w:t>
      </w:r>
      <w:r>
        <w:rPr>
          <w:rFonts w:ascii="Arial" w:cs="Arial" w:eastAsia="Arial" w:hAnsi="Arial"/>
          <w:sz w:val="20"/>
          <w:szCs w:val="20"/>
        </w:rPr>
        <w:t xml:space="preserve"> Increasing the grid size to 2 km produced the most statistically coherent two-cluster result across all versions (silhouette 0.551), but made the cluster split more extreme (91/9), not more informative. The 2 km scale does not reveal neighbourhood-level morphological distinctions because each cell is large enough to contain both planned and organic elements — the averaging effect that the 1 km grid suffers at the block scale is replicated at the neighbourhood scale with 2 km cells.</w:t>
      </w:r>
    </w:p>
    <w:p>
      <w:pPr>
        <w:spacing w:before="200" w:after="0"/>
      </w:pPr>
      <w:r>
        <w:t xml:space="preserve"/>
      </w:r>
    </w:p>
    <w:p>
      <w:pPr>
        <w:pStyle w:val="Heading1"/>
        <w:spacing w:before="360" w:after="180"/>
      </w:pPr>
      <w:r>
        <w:rPr>
          <w:rFonts w:ascii="Arial" w:cs="Arial" w:eastAsia="Arial" w:hAnsi="Arial"/>
          <w:b/>
          <w:bCs/>
          <w:color w:val="1F3864"/>
          <w:sz w:val="30"/>
          <w:szCs w:val="30"/>
        </w:rPr>
        <w:t xml:space="preserve">5.  Comparative Analysis Across Versions</w:t>
      </w:r>
    </w:p>
    <w:p>
      <w:pPr>
        <w:pStyle w:val="Heading2"/>
        <w:spacing w:before="280" w:after="120"/>
      </w:pPr>
      <w:r>
        <w:rPr>
          <w:rFonts w:ascii="Arial" w:cs="Arial" w:eastAsia="Arial" w:hAnsi="Arial"/>
          <w:b/>
          <w:bCs/>
          <w:color w:val="2E75B6"/>
          <w:sz w:val="24"/>
          <w:szCs w:val="24"/>
        </w:rPr>
        <w:t xml:space="preserve">5.1  Cross-Version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1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V1 (1km/drive)</w:t>
            </w:r>
          </w:p>
        </w:tc>
        <w:tc>
          <w:tcPr>
            <w:tcW w:type="dxa" w:w="1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V2 (1km/all)</w:t>
            </w:r>
          </w:p>
        </w:tc>
        <w:tc>
          <w:tcPr>
            <w:tcW w:type="dxa" w:w="1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V3 (1km/all, neutral)</w:t>
            </w:r>
          </w:p>
        </w:tc>
        <w:tc>
          <w:tcPr>
            <w:tcW w:type="dxa" w:w="1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V4 (2km/all)</w:t>
            </w:r>
          </w:p>
        </w:tc>
        <w:tc>
          <w:tcPr>
            <w:tcW w:type="dxa" w:w="17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Trend</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Zones analysed</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469</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821</w:t>
            </w:r>
          </w:p>
        </w:tc>
        <w:tc>
          <w:tcPr>
            <w:tcW w:type="dxa" w:w="1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827</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226</w:t>
            </w:r>
          </w:p>
        </w:tc>
        <w:tc>
          <w:tcPr>
            <w:tcW w:type="dxa" w:w="1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then ↓</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Split</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57/43</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79/21</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78/22</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91/9</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Majority growing</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KMeans silhouette (k=2)</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0.366</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0.420</w:t>
            </w:r>
          </w:p>
        </w:tc>
        <w:tc>
          <w:tcPr>
            <w:tcW w:type="dxa" w:w="1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0.408</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0.551</w:t>
            </w:r>
          </w:p>
        </w:tc>
        <w:tc>
          <w:tcPr>
            <w:tcW w:type="dxa" w:w="1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overall</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Best k selected</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Constant</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DBSCAN result</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 cluster</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 cluster</w:t>
            </w:r>
          </w:p>
        </w:tc>
        <w:tc>
          <w:tcPr>
            <w:tcW w:type="dxa" w:w="1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 cluster</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 cluster</w:t>
            </w:r>
          </w:p>
        </w:tc>
        <w:tc>
          <w:tcPr>
            <w:tcW w:type="dxa" w:w="1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Constant failure</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orientation_entropy gap</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N/A</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0.055</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0.020</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0.050</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Near zero throughout</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wcc_fragmentation gap</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N/A</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0.088</w:t>
            </w:r>
          </w:p>
        </w:tc>
        <w:tc>
          <w:tcPr>
            <w:tcW w:type="dxa" w:w="1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0.079</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0.075</w:t>
            </w:r>
          </w:p>
        </w:tc>
        <w:tc>
          <w:tcPr>
            <w:tcW w:type="dxa" w:w="1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Stable</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global_efficiency gap</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0.150</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0.187</w:t>
            </w:r>
          </w:p>
        </w:tc>
        <w:tc>
          <w:tcPr>
            <w:tcW w:type="dxa" w:w="1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0.178</w:t>
            </w:r>
          </w:p>
        </w:tc>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0.176</w:t>
            </w:r>
          </w:p>
        </w:tc>
        <w:tc>
          <w:tcPr>
            <w:tcW w:type="dxa" w:w="1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Stable, reliable</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confidence</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0.739</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0.770</w:t>
            </w:r>
          </w:p>
        </w:tc>
        <w:tc>
          <w:tcPr>
            <w:tcW w:type="dxa" w:w="1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0.781</w:t>
            </w:r>
          </w:p>
        </w:tc>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0.677</w:t>
            </w:r>
          </w:p>
        </w:tc>
        <w:tc>
          <w:tcPr>
            <w:tcW w:type="dxa" w:w="1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then ↓</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5.2  Feature Discrimination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Feature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V1</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V2</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V3</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V4 (2km)</w:t>
            </w:r>
          </w:p>
        </w:tc>
        <w:tc>
          <w:tcPr>
            <w:tcW w:type="dxa" w:w="21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Discriminates?</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global_efficiency</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0.150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0.187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0.178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0.176 gap</w:t>
            </w:r>
          </w:p>
        </w:tc>
        <w:tc>
          <w:tcPr>
            <w:tcW w:type="dxa" w:w="2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Strong — primary separator</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gwcc_pct</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10.5%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18.5%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16.8%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32.2% gap</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 Strong — connectivity completeness</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N/A*</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0.099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0.101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0.120 gap</w:t>
            </w:r>
          </w:p>
        </w:tc>
        <w:tc>
          <w:tcPr>
            <w:tcW w:type="dxa" w:w="2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Moderate — bottleneck indicator</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wcc_fragmentation</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0.088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0.079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0.075 gap</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 Moderate — fragmentation indicator</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orientation_entropy</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N/A*</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0.055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0.020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0.050 gap</w:t>
            </w:r>
          </w:p>
        </w:tc>
        <w:tc>
          <w:tcPr>
            <w:tcW w:type="dxa" w:w="2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Fails — non-discriminating in Dhaka</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hub_dominance_ratio</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N/A*</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0.056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0.075 gap</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0.152 gap</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 Weak — inconsistent across versions</w:t>
            </w:r>
          </w:p>
        </w:tc>
      </w:tr>
      <w:tr>
        <w:tc>
          <w:tcPr>
            <w:tcW w:type="dxa" w:w="1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density</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0.034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0.044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0.041 gap</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0.026 gap</w:t>
            </w:r>
          </w:p>
        </w:tc>
        <w:tc>
          <w:tcPr>
            <w:tcW w:type="dxa" w:w="2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Moderate — local road density</w:t>
            </w:r>
          </w:p>
        </w:tc>
      </w:tr>
      <w:tr>
        <w:tc>
          <w:tcPr>
            <w:tcW w:type="dxa" w:w="1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reciprocity (V1 only)</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 (saturated)</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Removed</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Removed</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Removed</w:t>
            </w:r>
          </w:p>
        </w:tc>
        <w:tc>
          <w:tcPr>
            <w:tcW w:type="dxa" w:w="2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 Fails — structural saturation</w:t>
            </w:r>
          </w:p>
        </w:tc>
      </w:tr>
    </w:tbl>
    <w:p>
      <w:pPr>
        <w:spacing w:before="80" w:after="0"/>
      </w:pPr>
      <w:r>
        <w:t xml:space="preserve"/>
      </w:r>
    </w:p>
    <w:p>
      <w:pPr>
        <w:spacing w:before="40" w:after="80"/>
        <w:jc w:val="both"/>
      </w:pPr>
      <w:r>
        <w:rPr>
          <w:rFonts w:ascii="Arial" w:cs="Arial" w:eastAsia="Arial" w:hAnsi="Arial"/>
          <w:sz w:val="20"/>
          <w:szCs w:val="20"/>
        </w:rPr>
        <w:t xml:space="preserve">* Feature not present in V1 or replaced by corrected version.</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5.3  Geographic Consistency of Cluster Boundaries</w:t>
      </w:r>
    </w:p>
    <w:p>
      <w:pPr>
        <w:spacing w:before="60" w:after="100" w:line="288"/>
        <w:jc w:val="both"/>
      </w:pPr>
      <w:r>
        <w:rPr>
          <w:rFonts w:ascii="Arial" w:cs="Arial" w:eastAsia="Arial" w:hAnsi="Arial"/>
          <w:sz w:val="20"/>
          <w:szCs w:val="20"/>
        </w:rPr>
        <w:t xml:space="preserve">Comparing the choropleth maps across V1–V4 reveals a geographically stable pattern that persists despite all methodological changes. The core of Dhaka (23.70°N–23.85°N, 90.35°E–90.45°E) — encompassing Motijheel, Tejgaon, Dhanmondi, Mohammadpur — consistently falls in the majority cluster across all versions. The periphery (below 23.70°N, above 23.90°N, and the western edge around 90.25°E) consistently falls in the minority cluster.</w:t>
      </w:r>
    </w:p>
    <w:p>
      <w:pPr>
        <w:spacing w:before="60" w:after="0"/>
      </w:pPr>
      <w:r>
        <w:t xml:space="preserve"/>
      </w:r>
    </w:p>
    <w:p>
      <w:pPr>
        <w:spacing w:before="60" w:after="100" w:line="288"/>
        <w:jc w:val="both"/>
      </w:pPr>
      <w:r>
        <w:rPr>
          <w:rFonts w:ascii="Arial" w:cs="Arial" w:eastAsia="Arial" w:hAnsi="Arial"/>
          <w:sz w:val="20"/>
          <w:szCs w:val="20"/>
        </w:rPr>
        <w:t xml:space="preserve">The OSM completeness map provides the key interpretive overlay. The minority cluster zones correspond almost exactly to zones with OSM completeness values below 5 on the relative scale — areas where road data is sparse. This co-location of “minority cluster” and “low OSM completeness” persists from V1 through V4. The consistency across three independent network downloads suggests a genuine underlying distinction between the city’s connected core and its developing periphery.</w:t>
      </w:r>
    </w:p>
    <w:p>
      <w:pPr>
        <w:spacing w:before="60" w:after="0"/>
      </w:pPr>
      <w:r>
        <w:t xml:space="preserve"/>
      </w:r>
    </w:p>
    <w:p>
      <w:pPr>
        <w:spacing w:before="80" w:after="160"/>
        <w:jc w:val="center"/>
      </w:pPr>
      <w:r>
        <w:rPr>
          <w:rFonts w:ascii="Arial" w:cs="Arial" w:eastAsia="Arial" w:hAnsi="Arial"/>
          <w:b/>
          <w:bCs/>
          <w:color w:val="2E75B6"/>
          <w:sz w:val="19"/>
          <w:szCs w:val="19"/>
        </w:rPr>
        <w:t xml:space="preserve">[FIGURE 1] </w:t>
      </w:r>
      <w:r>
        <w:rPr>
          <w:rFonts w:ascii="Arial" w:cs="Arial" w:eastAsia="Arial" w:hAnsi="Arial"/>
          <w:i/>
          <w:iCs/>
          <w:color w:val="444444"/>
          <w:sz w:val="19"/>
          <w:szCs w:val="19"/>
        </w:rPr>
        <w:t xml:space="preserve">Choropleth maps of cluster assignments across V1–V4. The central corridor (Motijheel–Dhanmondi–Tejgaon) appears consistently in the majority cluster; the peripheral fringe consistently in the minority cluster. [Insert V3 choropleth map from outputs_v3/]</w:t>
      </w:r>
    </w:p>
    <w:p>
      <w:pPr>
        <w:spacing w:before="80" w:after="0"/>
      </w:pPr>
      <w:r>
        <w:t xml:space="preserve"/>
      </w:r>
    </w:p>
    <w:p>
      <w:r>
        <w:br w:type="page"/>
      </w:r>
    </w:p>
    <w:p>
      <w:pPr>
        <w:pStyle w:val="Heading1"/>
        <w:spacing w:before="360" w:after="180"/>
      </w:pPr>
      <w:r>
        <w:rPr>
          <w:rFonts w:ascii="Arial" w:cs="Arial" w:eastAsia="Arial" w:hAnsi="Arial"/>
          <w:b/>
          <w:bCs/>
          <w:color w:val="1F3864"/>
          <w:sz w:val="30"/>
          <w:szCs w:val="30"/>
        </w:rPr>
        <w:t xml:space="preserve">6.  Discussion: V1–V4 Findings</w:t>
      </w:r>
    </w:p>
    <w:p>
      <w:pPr>
        <w:pStyle w:val="Heading2"/>
        <w:spacing w:before="280" w:after="120"/>
      </w:pPr>
      <w:r>
        <w:rPr>
          <w:rFonts w:ascii="Arial" w:cs="Arial" w:eastAsia="Arial" w:hAnsi="Arial"/>
          <w:b/>
          <w:bCs/>
          <w:color w:val="2E75B6"/>
          <w:sz w:val="24"/>
          <w:szCs w:val="24"/>
        </w:rPr>
        <w:t xml:space="preserve">6.1  Why Dhaka Resists Archetype Classification</w:t>
      </w:r>
    </w:p>
    <w:p>
      <w:pPr>
        <w:spacing w:before="60" w:after="100" w:line="288"/>
        <w:jc w:val="both"/>
      </w:pPr>
      <w:r>
        <w:rPr>
          <w:rFonts w:ascii="Arial" w:cs="Arial" w:eastAsia="Arial" w:hAnsi="Arial"/>
          <w:sz w:val="20"/>
          <w:szCs w:val="20"/>
        </w:rPr>
        <w:t xml:space="preserve">The four-archetype framework applied in this study — Maze, Grid, Radial Corridor, Periphery — is well-established for cities that developed under Western planning paradigms. Porta, Crucitti, and Latora (2006) demonstrated its applicability to Bologna, Barcelona, and Venice. Jiang and Claramunt (2004) extended it to smaller European cities using angular betweenness-based street classifications. Boeing (2019) applied street orientation entropy to 100 global cities, finding clear bimodal orientation distributions in grid-planned cities (Portland, Chicago) and high-entropy distributions in organic cities (Rome, Cairo).</w:t>
      </w:r>
    </w:p>
    <w:p>
      <w:pPr>
        <w:spacing w:before="60" w:after="0"/>
      </w:pPr>
      <w:r>
        <w:t xml:space="preserve"/>
      </w:r>
    </w:p>
    <w:p>
      <w:pPr>
        <w:spacing w:before="60" w:after="100" w:line="288"/>
        <w:jc w:val="both"/>
      </w:pPr>
      <w:r>
        <w:rPr>
          <w:rFonts w:ascii="Arial" w:cs="Arial" w:eastAsia="Arial" w:hAnsi="Arial"/>
          <w:sz w:val="20"/>
          <w:szCs w:val="20"/>
        </w:rPr>
        <w:t xml:space="preserve">Dhaka does not fit this binary cleanly. Islam (2005) documented that Dhaka’s spatial structure reflects five historically distinct morphological logics — river-radial, Moghul-era bazaar networks, RAJUK sector grids, ribbon development, and informal infill — that in Dhaka are spatially interleaved rather than zonally segregated. This interpretation is consistent with comparable South Asian findings: Taubenböck et al. (2017) found that Delhi’s urban morphology could not be meaningfully classified by Western archetypes below the ward level; Revi et al. (2011) noted that South Asian megacity road networks are characterised by historical palimpsests producing a continuous gradient rather than discrete zones.</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6.2  The Connectivity Spectrum as the True Classification Axis</w:t>
      </w:r>
    </w:p>
    <w:p>
      <w:pPr>
        <w:spacing w:before="60" w:after="100" w:line="288"/>
        <w:jc w:val="both"/>
      </w:pPr>
      <w:r>
        <w:rPr>
          <w:rFonts w:ascii="Arial" w:cs="Arial" w:eastAsia="Arial" w:hAnsi="Arial"/>
          <w:sz w:val="20"/>
          <w:szCs w:val="20"/>
        </w:rPr>
        <w:t xml:space="preserve">Across all four versions, the features that consistently and reliably separate the two clusters are measures of network connectivity: global efficiency, gwcc_pct, wcc_fragmentation, and betweenness_gini. The features designed to detect morphological type — orientation_entropy, hub_dominance_ratio, path_length_p90_norm — fail to discriminate.</w:t>
      </w:r>
    </w:p>
    <w:p>
      <w:pPr>
        <w:spacing w:before="60" w:after="0"/>
      </w:pPr>
      <w:r>
        <w:t xml:space="preserve"/>
      </w:r>
    </w:p>
    <w:p>
      <w:pPr>
        <w:spacing w:before="60" w:after="100" w:line="288"/>
        <w:jc w:val="both"/>
      </w:pPr>
      <w:r>
        <w:rPr>
          <w:rFonts w:ascii="Arial" w:cs="Arial" w:eastAsia="Arial" w:hAnsi="Arial"/>
          <w:sz w:val="20"/>
          <w:szCs w:val="20"/>
        </w:rPr>
        <w:t xml:space="preserve">This outcome is not trivial. It means that what varies most between Dhaka’s 1 km grid cells is not how the roads are arranged geometrically, but how well those roads connect to each other. The global efficiency gap between the two clusters (0.079 vs. 0.255 in V4) represents a substantial accessibility difference: in Cluster_0 zones, the average path between two nodes requires navigating 3–4× more steps than in Cluster_1 zones. This has direct transport policy implications that the archetype framework would not have captured.</w:t>
      </w:r>
    </w:p>
    <w:p>
      <w:pPr>
        <w:spacing w:before="60" w:after="0"/>
      </w:pPr>
      <w:r>
        <w:t xml:space="preserve"/>
      </w:r>
    </w:p>
    <w:p>
      <w:pPr>
        <w:spacing w:before="60" w:after="100" w:line="288"/>
        <w:jc w:val="both"/>
      </w:pPr>
      <w:r>
        <w:rPr>
          <w:rFonts w:ascii="Arial" w:cs="Arial" w:eastAsia="Arial" w:hAnsi="Arial"/>
          <w:sz w:val="20"/>
          <w:szCs w:val="20"/>
        </w:rPr>
        <w:t xml:space="preserve">Connectivity-level clustering is consistent with findings in network science applications to urban transport. Barthélemy (2011) argued that the most policy-relevant distinction in urban road networks is between zones with high betweenness concentration (where removal of a single node or edge causes network-wide failure) and zones with distributed betweenness (resilient to local disruptions). Our betweenness_gini results confirm this as a meaningful discriminator for Dhaka.</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6.3  The DBSCAN Failure and Its Geometric Interpretation</w:t>
      </w:r>
    </w:p>
    <w:p>
      <w:pPr>
        <w:spacing w:before="60" w:after="100" w:line="288"/>
        <w:jc w:val="both"/>
      </w:pPr>
      <w:r>
        <w:rPr>
          <w:rFonts w:ascii="Arial" w:cs="Arial" w:eastAsia="Arial" w:hAnsi="Arial"/>
          <w:sz w:val="20"/>
          <w:szCs w:val="20"/>
        </w:rPr>
        <w:t xml:space="preserve">DBSCAN collapsed to a single cluster in every version across every parameter configuration. This is highly informative. DBSCAN identifies clusters as high-density regions in feature space separated by low-density regions. Its failure indicates that Dhaka’s zones do not form discrete clumps in feature space — they form a continuous distribution. This is the geometric signature of a spectrum, not a typology. The persistent two-cluster K-Means result represents the algorithm finding the optimal binary split of a continuous distribution, not the identification of two genuinely distinct morphological populations.</w:t>
      </w:r>
    </w:p>
    <w:p>
      <w:pPr>
        <w:spacing w:before="60" w:after="0"/>
      </w:pPr>
      <w:r>
        <w:t xml:space="preserve"/>
      </w:r>
    </w:p>
    <w:p>
      <w:pPr>
        <w:pBdr>
          <w:left w:val="single" w:color="1F3864" w:sz="24" w:space="10"/>
        </w:pBdr>
        <w:spacing w:before="100" w:after="100" w:line="300"/>
        <w:ind w:left="360" w:right="120"/>
        <w:jc w:val="both"/>
      </w:pPr>
      <w:r>
        <w:rPr>
          <w:rFonts w:ascii="Arial" w:cs="Arial" w:eastAsia="Arial" w:hAnsi="Arial"/>
          <w:b/>
          <w:bCs/>
          <w:sz w:val="20"/>
          <w:szCs w:val="20"/>
        </w:rPr>
        <w:t xml:space="preserve">Central conclusion of V1–V4:</w:t>
      </w:r>
      <w:r>
        <w:rPr>
          <w:rFonts w:ascii="Arial" w:cs="Arial" w:eastAsia="Arial" w:hAnsi="Arial"/>
          <w:sz w:val="20"/>
          <w:szCs w:val="20"/>
        </w:rPr>
        <w:t xml:space="preserve"> Dhaka’s road network at both 1 km and 2 km grid scales exhibits a single dominant axis of variation — network connectivity — rather than the discrete morphological archetypes proposed in the original framework. This is a structural finding about the city’s development history, not a methodological failure. The most policy-relevant output of the clustering stage is the identification of the low-connectivity peripheral fringe as the zone type with the highest infrastructure investment leverage.</w:t>
      </w:r>
    </w:p>
    <w:p>
      <w:pPr>
        <w:spacing w:before="200" w:after="0"/>
      </w:pPr>
      <w:r>
        <w:t xml:space="preserve"/>
      </w:r>
    </w:p>
    <w:p>
      <w:pPr>
        <w:pStyle w:val="Heading1"/>
        <w:spacing w:before="360" w:after="180"/>
      </w:pPr>
      <w:r>
        <w:rPr>
          <w:rFonts w:ascii="Arial" w:cs="Arial" w:eastAsia="Arial" w:hAnsi="Arial"/>
          <w:b/>
          <w:bCs/>
          <w:color w:val="1F3864"/>
          <w:sz w:val="30"/>
          <w:szCs w:val="30"/>
        </w:rPr>
        <w:t xml:space="preserve">7.  GAT Extension: Graph Attention Topology Pipeline — Methodology</w:t>
      </w:r>
    </w:p>
    <w:p>
      <w:pPr>
        <w:spacing w:before="60" w:after="100" w:line="288"/>
        <w:jc w:val="both"/>
      </w:pPr>
      <w:r>
        <w:rPr>
          <w:rFonts w:ascii="Arial" w:cs="Arial" w:eastAsia="Arial" w:hAnsi="Arial"/>
          <w:sz w:val="20"/>
          <w:szCs w:val="20"/>
        </w:rPr>
        <w:t xml:space="preserve">The V1–V4 stages produced zone-level morphological classifications. The GAT extension operationalises these classifications at the intersection level, asking: within each zone, which specific intersection is the most structurally critical, and how does that criticality relate to the zone’s topology type? The term “graph attention” is used in the analytically grounded sense: betweenness centrality identifies which intersections the network itself “attends to” structurally — routing a disproportionate fraction of all shortest paths through a small number of junctions. This is a deterministic, interpretable analogue to the stochastic attention mechanisms used in neural network architectures.</w:t>
      </w:r>
    </w:p>
    <w:p>
      <w:pPr>
        <w:spacing w:before="60" w:after="0"/>
      </w:pPr>
      <w:r>
        <w:t xml:space="preserve"/>
      </w:r>
    </w:p>
    <w:p>
      <w:pPr>
        <w:pStyle w:val="Heading2"/>
        <w:spacing w:before="280" w:after="120"/>
      </w:pPr>
      <w:r>
        <w:rPr>
          <w:rFonts w:ascii="Arial" w:cs="Arial" w:eastAsia="Arial" w:hAnsi="Arial"/>
          <w:b/>
          <w:bCs/>
          <w:color w:val="2E75B6"/>
          <w:sz w:val="24"/>
          <w:szCs w:val="24"/>
        </w:rPr>
        <w:t xml:space="preserve">7.1  Analytical Framework</w:t>
      </w:r>
    </w:p>
    <w:p>
      <w:pPr>
        <w:spacing w:before="60" w:after="100" w:line="288"/>
        <w:jc w:val="both"/>
      </w:pPr>
      <w:r>
        <w:rPr>
          <w:rFonts w:ascii="Arial" w:cs="Arial" w:eastAsia="Arial" w:hAnsi="Arial"/>
          <w:sz w:val="20"/>
          <w:szCs w:val="20"/>
        </w:rPr>
        <w:t xml:space="preserve">The GAT pipeline rests on three theoretical pillars:</w:t>
      </w:r>
    </w:p>
    <w:p>
      <w:pPr>
        <w:spacing w:before="40" w:after="0"/>
      </w:pPr>
      <w:r>
        <w:t xml:space="preserve"/>
      </w:r>
    </w:p>
    <w:p>
      <w:pPr>
        <w:pStyle w:val="ListParagraph"/>
        <w:numPr>
          <w:ilvl w:val="0"/>
          <w:numId w:val="2"/>
        </w:numPr>
        <w:spacing w:before="50" w:after="50" w:line="270"/>
      </w:pPr>
      <w:r>
        <w:rPr>
          <w:rFonts w:ascii="Arial" w:cs="Arial" w:eastAsia="Arial" w:hAnsi="Arial"/>
          <w:b/>
          <w:bCs/>
          <w:sz w:val="19"/>
          <w:szCs w:val="19"/>
        </w:rPr>
        <w:t xml:space="preserve">Betweenness centrality as structural attention:</w:t>
      </w:r>
      <w:r>
        <w:rPr>
          <w:rFonts w:ascii="Arial" w:cs="Arial" w:eastAsia="Arial" w:hAnsi="Arial"/>
          <w:sz w:val="19"/>
          <w:szCs w:val="19"/>
        </w:rPr>
        <w:t xml:space="preserve"> For a network G with n nodes, the betweenness centrality of node v is BC(v) = Σ_{s≠v≠t} σ(s,t|v) / σ(s,t), where σ(s,t) is the total number of shortest paths from s to t and σ(s,t|v) is the number of those paths passing through v. A node with high BC is literally a mandatory waypoint for a large fraction of all origin-destination pairs in the network — the definition of a structural bottleneck.</w:t>
      </w:r>
    </w:p>
    <w:p>
      <w:pPr>
        <w:pStyle w:val="ListParagraph"/>
        <w:numPr>
          <w:ilvl w:val="0"/>
          <w:numId w:val="2"/>
        </w:numPr>
        <w:spacing w:before="50" w:after="50" w:line="270"/>
      </w:pPr>
      <w:r>
        <w:rPr>
          <w:rFonts w:ascii="Arial" w:cs="Arial" w:eastAsia="Arial" w:hAnsi="Arial"/>
          <w:b/>
          <w:bCs/>
          <w:sz w:val="19"/>
          <w:szCs w:val="19"/>
        </w:rPr>
        <w:t xml:space="preserve">Articulation points as latent fragility:</w:t>
      </w:r>
      <w:r>
        <w:rPr>
          <w:rFonts w:ascii="Arial" w:cs="Arial" w:eastAsia="Arial" w:hAnsi="Arial"/>
          <w:sz w:val="19"/>
          <w:szCs w:val="19"/>
        </w:rPr>
        <w:t xml:space="preserve"> An articulation point is a node whose removal increases the number of connected components. Unlike BC (which measures routing concentration), articulation point detection measures existential connectivity risk — nodes whose removal causes disconnection rather than merely detour.</w:t>
      </w:r>
    </w:p>
    <w:p>
      <w:pPr>
        <w:pStyle w:val="ListParagraph"/>
        <w:numPr>
          <w:ilvl w:val="0"/>
          <w:numId w:val="2"/>
        </w:numPr>
        <w:spacing w:before="50" w:after="50" w:line="270"/>
      </w:pPr>
      <w:r>
        <w:rPr>
          <w:rFonts w:ascii="Arial" w:cs="Arial" w:eastAsia="Arial" w:hAnsi="Arial"/>
          <w:b/>
          <w:bCs/>
          <w:sz w:val="19"/>
          <w:szCs w:val="19"/>
        </w:rPr>
        <w:t xml:space="preserve">Zone-conditioning as attention re-weighting:</w:t>
      </w:r>
      <w:r>
        <w:rPr>
          <w:rFonts w:ascii="Arial" w:cs="Arial" w:eastAsia="Arial" w:hAnsi="Arial"/>
          <w:sz w:val="19"/>
          <w:szCs w:val="19"/>
        </w:rPr>
        <w:t xml:space="preserve"> The same BC value carries different policy significance depending on the zone’s structural context. A BC of 0.40 in a 30-node C0 (fragmented) zone reflects small-graph inflation; a BC of 0.40 in a 200-node C1 (organic) zone reflects a genuine network-scale bottleneck. The TCGA contribution is the joint conditioning of BC magnitude on V3 cluster membership and zone size.</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7.2  Dataset and Extraction</w:t>
      </w:r>
    </w:p>
    <w:p>
      <w:pPr>
        <w:spacing w:before="60" w:after="100" w:line="288"/>
        <w:jc w:val="both"/>
      </w:pPr>
      <w:r>
        <w:rPr>
          <w:rFonts w:ascii="Arial" w:cs="Arial" w:eastAsia="Arial" w:hAnsi="Arial"/>
          <w:sz w:val="20"/>
          <w:szCs w:val="20"/>
        </w:rPr>
        <w:t xml:space="preserve">The pipeline was applied to the V3 dataset: the 1 km × 1 km grid with 800 m buffer, all-roads OSMnx extraction, bounding box 23.65°N–23.95°N, 90.25°E–90.48°E. For each zone, the raw nodes.csv and links.csv were loaded, and an undirected NetworkX graph was constructed with road length as edge weight. Zones with fewer than 30 nodes were excluded from the betweenness analysis, as the exact BC formula at very small graph sizes produces normalised values dominated by network boundary effects rather than structural properties.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Parameter</w:t>
            </w:r>
          </w:p>
        </w:tc>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Value</w:t>
            </w:r>
          </w:p>
        </w:tc>
        <w:tc>
          <w:tcPr>
            <w:tcW w:type="dxa" w:w="47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Rationale</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Algorithm</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Brandes exact betweenness</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Computationally feasible at zone scale (15–2,000 nodes). Exact values required for policy-actionable GPS-locatable targets.</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Edge weight</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Road length (metres)</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Weighted BC penalises paths through long roads, reflecting real-world routing preferences.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Graph type</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Undirected</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One-way constraints not fully reliable in OSM Dhaka data; undirected provides a conservative lower bound on bottleneck severity.</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Minimum zone size</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30 nodes</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Below this threshold, normalised BC values are dominated by boundary effects.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Zones processed</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790 of 822</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32 zones excluded (n &lt; 30). 338,429 total intersections processed.</w:t>
            </w:r>
          </w:p>
        </w:tc>
      </w:tr>
    </w:tbl>
    <w:p>
      <w:pPr>
        <w:spacing w:before="80" w:after="0"/>
      </w:pPr>
      <w:r>
        <w:t xml:space="preserve"/>
      </w:r>
    </w:p>
    <w:p>
      <w:pPr>
        <w:pStyle w:val="Heading2"/>
        <w:spacing w:before="280" w:after="120"/>
      </w:pPr>
      <w:r>
        <w:rPr>
          <w:rFonts w:ascii="Arial" w:cs="Arial" w:eastAsia="Arial" w:hAnsi="Arial"/>
          <w:b/>
          <w:bCs/>
          <w:color w:val="2E75B6"/>
          <w:sz w:val="24"/>
          <w:szCs w:val="24"/>
        </w:rPr>
        <w:t xml:space="preserve">7.3  Output Structure</w:t>
      </w:r>
    </w:p>
    <w:p>
      <w:pPr>
        <w:spacing w:before="60" w:after="100" w:line="288"/>
        <w:jc w:val="both"/>
      </w:pPr>
      <w:r>
        <w:rPr>
          <w:rFonts w:ascii="Arial" w:cs="Arial" w:eastAsia="Arial" w:hAnsi="Arial"/>
          <w:sz w:val="20"/>
          <w:szCs w:val="20"/>
        </w:rPr>
        <w:t xml:space="preserve">The pipeline produced the following outputs, all referenced in the analysis below:</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File</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Scope</w:t>
            </w:r>
          </w:p>
        </w:tc>
        <w:tc>
          <w:tcPr>
            <w:tcW w:type="dxa" w:w="61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Columns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all_zones_summary.csv</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One row per zone</w:t>
            </w:r>
          </w:p>
        </w:tc>
        <w:tc>
          <w:tcPr>
            <w:tcW w:type="dxa" w:w="6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zone_id, centre_lat/lon, n_nodes, n_edges, avg_degree, max_bc, mean_bc, p95_bc, p99_bc, tier1_count, tier2_count, art_point_count, master_node_id, master_lon/lat, master_degree, compute_time_s</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all_nodes_bc.csv</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One row per intersection</w:t>
            </w:r>
          </w:p>
        </w:tc>
        <w:tc>
          <w:tcPr>
            <w:tcW w:type="dxa" w:w="61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zone_id, node_id (OSM), lon, lat, bc, tier (1–4), degree, is_master, is_art_pt</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Zone_DH*/nodes_bc.csv</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Per-zone node tables</w:t>
            </w:r>
          </w:p>
        </w:tc>
        <w:tc>
          <w:tcPr>
            <w:tcW w:type="dxa" w:w="61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Same columns as all_nodes_bc.csv, filtered to one zone</w:t>
            </w:r>
          </w:p>
        </w:tc>
      </w:tr>
    </w:tbl>
    <w:p>
      <w:pPr>
        <w:spacing w:before="80" w:after="0"/>
      </w:pPr>
      <w:r>
        <w:t xml:space="preserve"/>
      </w:r>
    </w:p>
    <w:p>
      <w:pPr>
        <w:spacing w:before="60" w:after="100" w:line="288"/>
        <w:jc w:val="both"/>
      </w:pPr>
      <w:r>
        <w:rPr>
          <w:rFonts w:ascii="Arial" w:cs="Arial" w:eastAsia="Arial" w:hAnsi="Arial"/>
          <w:sz w:val="20"/>
          <w:szCs w:val="20"/>
        </w:rPr>
        <w:t xml:space="preserve">Node tiers are defined by betweenness percentile within each zone: Tier 1 = top 1% (master node and close peers); Tier 2 = 1–5%; Tier 3 = 5–25%; Tier 4 = below 25th percentile. The “master node” is the single highest-BC intersection in each zone, fully identified by its OSM node ID and GPS coordinates.</w:t>
      </w:r>
    </w:p>
    <w:p>
      <w:pPr>
        <w:spacing w:before="200" w:after="0"/>
      </w:pPr>
      <w:r>
        <w:t xml:space="preserve"/>
      </w:r>
    </w:p>
    <w:p>
      <w:pPr>
        <w:pStyle w:val="Heading1"/>
        <w:spacing w:before="360" w:after="180"/>
      </w:pPr>
      <w:r>
        <w:rPr>
          <w:rFonts w:ascii="Arial" w:cs="Arial" w:eastAsia="Arial" w:hAnsi="Arial"/>
          <w:b/>
          <w:bCs/>
          <w:color w:val="1F3864"/>
          <w:sz w:val="30"/>
          <w:szCs w:val="30"/>
        </w:rPr>
        <w:t xml:space="preserve">8.  GAT Results: City-Wide Betweenness Analysis (n = 790 Zones)</w:t>
      </w:r>
    </w:p>
    <w:p>
      <w:pPr>
        <w:pStyle w:val="Heading2"/>
        <w:spacing w:before="280" w:after="120"/>
      </w:pPr>
      <w:r>
        <w:rPr>
          <w:rFonts w:ascii="Arial" w:cs="Arial" w:eastAsia="Arial" w:hAnsi="Arial"/>
          <w:b/>
          <w:bCs/>
          <w:color w:val="2E75B6"/>
          <w:sz w:val="24"/>
          <w:szCs w:val="24"/>
        </w:rPr>
        <w:t xml:space="preserve">8.1  Dataset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Metric</w:t>
            </w:r>
          </w:p>
        </w:tc>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Value</w:t>
            </w:r>
          </w:p>
        </w:tc>
        <w:tc>
          <w:tcPr>
            <w:tcW w:type="dxa" w:w="49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Interpretation</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Valid zones (n ≥ 30)</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790</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32 excluded. Full metropolitan coverage.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Total OSM intersections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338,429</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Real node-level records with exact BC, tier, degree, articulation flag.</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Cluster_0 (Fragmented)</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147 zones (18.6%)</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High wcc_fragmentation (0.083), high global efficiency (0.256), low art_point_count.</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Cluster_1 (Organic/Maze)</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643 zones (81.4%)</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Low wcc_fragmentation (0.020), dense continuous networks, high art_point_count.</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City-wide mean max BC</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0.3801</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On average, one intersection controls 38.0% of all optimal routing paths in its zone.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City-wide median max BC</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0.3738</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Distribution near-symmetric; mean not distorted by extreme outliers.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City-wide std dev max BC</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0.1315</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Substantial inter-zone variation — BC concentration is far from uniform.</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Maximum max BC</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0.7111 (Zone_DH378)</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 single intersection controls 71.1% of all routing in its zone.</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Zones with max BC &gt; 0.50</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178 (22.5%)</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More than one in five zones has one intersection controlling over half of all routing.</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Zones with max BC &gt; 0.60</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34 (4.3%)</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Extreme bottleneck concentration. Highest-priority policy targets.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articulation points</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100.9 per zone</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On average, 101 intersections per zone are potential graph cut vertices.</w:t>
            </w:r>
          </w:p>
        </w:tc>
      </w:tr>
    </w:tbl>
    <w:p>
      <w:pPr>
        <w:spacing w:before="120" w:after="0"/>
      </w:pPr>
      <w:r>
        <w:t xml:space="preserve"/>
      </w:r>
    </w:p>
    <w:p>
      <w:pPr>
        <w:spacing w:before="80" w:after="160"/>
        <w:jc w:val="center"/>
      </w:pPr>
      <w:r>
        <w:rPr>
          <w:rFonts w:ascii="Arial" w:cs="Arial" w:eastAsia="Arial" w:hAnsi="Arial"/>
          <w:b/>
          <w:bCs/>
          <w:color w:val="2E75B6"/>
          <w:sz w:val="19"/>
          <w:szCs w:val="19"/>
        </w:rPr>
        <w:t xml:space="preserve">[FIGURE 2] </w:t>
      </w:r>
      <w:r>
        <w:rPr>
          <w:rFonts w:ascii="Arial" w:cs="Arial" w:eastAsia="Arial" w:hAnsi="Arial"/>
          <w:i/>
          <w:iCs/>
          <w:color w:val="444444"/>
          <w:sz w:val="19"/>
          <w:szCs w:val="19"/>
        </w:rPr>
        <w:t xml:space="preserve">City-wide distribution of maximum betweenness centrality across 790 zones. The distribution is approximately symmetric with a mean of 0.380 and a long right tail extending to 0.711. The vertical lines at 0.50 and 0.60 mark the high-priority policy thresholds. [Insert city_distributions.png]</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8.2  Cluster Comparison: BC and Articulation Points</w:t>
      </w:r>
    </w:p>
    <w:p>
      <w:pPr>
        <w:spacing w:before="60" w:after="100" w:line="288"/>
        <w:jc w:val="both"/>
      </w:pPr>
      <w:r>
        <w:rPr>
          <w:rFonts w:ascii="Arial" w:cs="Arial" w:eastAsia="Arial" w:hAnsi="Arial"/>
          <w:sz w:val="20"/>
          <w:szCs w:val="20"/>
        </w:rPr>
        <w:t xml:space="preserve">Joining the GAT outputs to the V3 cluster assignments reveals a striking and structurally coherent pattern. Table 8.1 provides the full distributional comparison.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Statistic</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Cluster_0 (Fragmented, n=147)</w:t>
            </w:r>
          </w:p>
        </w:tc>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Cluster_1 (Organic, n=643)</w:t>
            </w:r>
          </w:p>
        </w:tc>
        <w:tc>
          <w:tcPr>
            <w:tcW w:type="dxa" w:w="1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Test</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 max BC</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0.5068 ± 0.0995</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0.3512 ± 0.1204</w:t>
            </w:r>
          </w:p>
        </w:tc>
        <w:tc>
          <w:tcPr>
            <w:tcW w:type="dxa" w:w="1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U=78,588</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Median max BC</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0.5206</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0.3303</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 = 3.97 × 10⁻³⁶***</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P25 max BC</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0.4395</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0.2506</w:t>
            </w:r>
          </w:p>
        </w:tc>
        <w:tc>
          <w:tcPr>
            <w:tcW w:type="dxa" w:w="1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P75 max BC</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0.5779</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0.4521</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Maximum max BC</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0.7111</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0.7054</w:t>
            </w:r>
          </w:p>
        </w:tc>
        <w:tc>
          <w:tcPr>
            <w:tcW w:type="dxa" w:w="1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t>
            </w:r>
          </w:p>
        </w:tc>
      </w:tr>
      <w:tr>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Mean articulation points</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17.8</w:t>
            </w:r>
          </w:p>
        </w:tc>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119.9</w:t>
            </w:r>
          </w:p>
        </w:tc>
        <w:tc>
          <w:tcPr>
            <w:tcW w:type="dxa" w:w="1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 = 1.49 × 10⁻⁷¹***</w:t>
            </w:r>
          </w:p>
        </w:tc>
      </w:tr>
      <w:tr>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C1 / C0 ratio (art_pts)</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1.0×</w:t>
            </w:r>
          </w:p>
        </w:tc>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6.7× more</w:t>
            </w:r>
          </w:p>
        </w:tc>
        <w:tc>
          <w:tcPr>
            <w:tcW w:type="dxa" w:w="1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Mann–Whitney</w:t>
            </w:r>
          </w:p>
        </w:tc>
      </w:tr>
    </w:tbl>
    <w:p>
      <w:pPr>
        <w:spacing w:before="100" w:after="0"/>
      </w:pPr>
      <w:r>
        <w:t xml:space="preserve"/>
      </w:r>
    </w:p>
    <w:p>
      <w:pPr>
        <w:pStyle w:val="Heading3"/>
        <w:spacing w:before="200" w:after="80"/>
      </w:pPr>
      <w:r>
        <w:rPr>
          <w:rFonts w:ascii="Arial" w:cs="Arial" w:eastAsia="Arial" w:hAnsi="Arial"/>
          <w:b/>
          <w:bCs/>
          <w:color w:val="333333"/>
          <w:sz w:val="21"/>
          <w:szCs w:val="21"/>
        </w:rPr>
        <w:t xml:space="preserve">8.2.1  The Unexpected Direction: Why C0 Has Higher BC</w:t>
      </w:r>
    </w:p>
    <w:p>
      <w:pPr>
        <w:spacing w:before="60" w:after="100" w:line="288"/>
        <w:jc w:val="both"/>
      </w:pPr>
      <w:r>
        <w:rPr>
          <w:rFonts w:ascii="Arial" w:cs="Arial" w:eastAsia="Arial" w:hAnsi="Arial"/>
          <w:sz w:val="20"/>
          <w:szCs w:val="20"/>
        </w:rPr>
        <w:t xml:space="preserve">Cluster_0 (Fragmented) has significantly higher max BC than Cluster_1 (Organic), contrary to intuition. This apparent contradiction has a rigorous structural explanation.</w:t>
      </w:r>
    </w:p>
    <w:p>
      <w:pPr>
        <w:spacing w:before="60" w:after="0"/>
      </w:pPr>
      <w:r>
        <w:t xml:space="preserve"/>
      </w:r>
    </w:p>
    <w:p>
      <w:pPr>
        <w:spacing w:before="60" w:after="100" w:line="288"/>
        <w:jc w:val="both"/>
      </w:pPr>
      <w:r>
        <w:rPr>
          <w:rFonts w:ascii="Arial" w:cs="Arial" w:eastAsia="Arial" w:hAnsi="Arial"/>
          <w:sz w:val="20"/>
          <w:szCs w:val="20"/>
        </w:rPr>
        <w:t xml:space="preserve">Betweenness centrality in its normalised form is BC(v) ∈ [0,1], where 1 indicates that v lies on every shortest path between every pair of nodes. In a small graph with 30 nodes, if one node is a bridge between two groups of 15, its BC approaches 0.5 easily. In a large graph with 600 nodes, the same structural position yields a much smaller normalised BC because σ(s,t) grows as O(n²). This is the small-graph inflation effect.</w:t>
      </w:r>
    </w:p>
    <w:p>
      <w:pPr>
        <w:spacing w:before="60" w:after="0"/>
      </w:pPr>
      <w:r>
        <w:t xml:space="preserve"/>
      </w:r>
    </w:p>
    <w:p>
      <w:pPr>
        <w:spacing w:before="60" w:after="100" w:line="288"/>
        <w:jc w:val="both"/>
      </w:pPr>
      <w:r>
        <w:rPr>
          <w:rFonts w:ascii="Arial" w:cs="Arial" w:eastAsia="Arial" w:hAnsi="Arial"/>
          <w:sz w:val="20"/>
          <w:szCs w:val="20"/>
        </w:rPr>
        <w:t xml:space="preserve">Cluster_0 zones are fragmented sub-graphs with low node counts (mean: ∲51 in V3). Their internal connectivity is often organised as a small number of sub-components connected by one or two bridge nodes. These bridge nodes achieve very high BC almost by construction. Cluster_1 zones are large (mean: ≈544 nodes), continuously connected organic networks where even dominant junction nodes share routing load with many neighbours.</w:t>
      </w:r>
    </w:p>
    <w:p>
      <w:pPr>
        <w:spacing w:before="60" w:after="0"/>
      </w:pPr>
      <w:r>
        <w:t xml:space="preserve"/>
      </w:r>
    </w:p>
    <w:p>
      <w:pPr>
        <w:pBdr>
          <w:left w:val="single" w:color="7F6000" w:sz="24" w:space="10"/>
        </w:pBdr>
        <w:spacing w:before="100" w:after="100" w:line="300"/>
        <w:ind w:left="360" w:right="120"/>
        <w:jc w:val="both"/>
      </w:pPr>
      <w:r>
        <w:rPr>
          <w:rFonts w:ascii="Arial" w:cs="Arial" w:eastAsia="Arial" w:hAnsi="Arial"/>
          <w:b/>
          <w:bCs/>
          <w:sz w:val="20"/>
          <w:szCs w:val="20"/>
        </w:rPr>
        <w:t xml:space="preserve">Important implication:</w:t>
      </w:r>
      <w:r>
        <w:rPr>
          <w:rFonts w:ascii="Arial" w:cs="Arial" w:eastAsia="Arial" w:hAnsi="Arial"/>
          <w:sz w:val="20"/>
          <w:szCs w:val="20"/>
        </w:rPr>
        <w:t xml:space="preserve"> Raw max BC values are not directly comparable across zones of dramatically different sizes. A BC of 0.50 in a 30-node C0 zone and a BC of 0.50 in a 500-node C1 zone represent fundamentally different structural situations. The highest-priority policy targets are large C1 zones with high BC — where the bottleneck is genuine and not an artefact of small graph size. These are identified in Section 8.5.</w:t>
      </w:r>
    </w:p>
    <w:p>
      <w:pPr>
        <w:spacing w:before="80" w:after="0"/>
      </w:pPr>
      <w:r>
        <w:t xml:space="preserve"/>
      </w:r>
    </w:p>
    <w:p>
      <w:pPr>
        <w:spacing w:before="60" w:after="100" w:line="288"/>
        <w:jc w:val="both"/>
      </w:pPr>
      <w:r>
        <w:rPr>
          <w:rFonts w:ascii="Arial" w:cs="Arial" w:eastAsia="Arial" w:hAnsi="Arial"/>
          <w:sz w:val="20"/>
          <w:szCs w:val="20"/>
        </w:rPr>
        <w:t xml:space="preserve">The Spearman correlation between max BC and node count confirms this: r = −0.705 (p &lt; 0.001) — the strongest predictor of max BC in the entire feature set is simply zone size. The TCGA policy-targeting framework therefore must apply a size-normalisation before producing a city-wide priority ranking.</w:t>
      </w:r>
    </w:p>
    <w:p>
      <w:pPr>
        <w:spacing w:before="100" w:after="0"/>
      </w:pPr>
      <w:r>
        <w:t xml:space="preserve"/>
      </w:r>
    </w:p>
    <w:p>
      <w:pPr>
        <w:pStyle w:val="Heading2"/>
        <w:spacing w:before="280" w:after="120"/>
      </w:pPr>
      <w:r>
        <w:rPr>
          <w:rFonts w:ascii="Arial" w:cs="Arial" w:eastAsia="Arial" w:hAnsi="Arial"/>
          <w:b/>
          <w:bCs/>
          <w:color w:val="2E75B6"/>
          <w:sz w:val="24"/>
          <w:szCs w:val="24"/>
        </w:rPr>
        <w:t xml:space="preserve">8.3  Correlation Analysis: Predictors of Betweenness Concentration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Variable</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Spearman r</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p-value</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Direction</w:t>
            </w:r>
          </w:p>
        </w:tc>
        <w:tc>
          <w:tcPr>
            <w:tcW w:type="dxa" w:w="42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Structural Interpretation</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mean_betweenness_centrality</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+0.7523</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Positive</w:t>
            </w:r>
          </w:p>
        </w:tc>
        <w:tc>
          <w:tcPr>
            <w:tcW w:type="dxa" w:w="4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Zones where mean BC is high also have high max BC — consistent concentration throughout</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node_count</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−0.7051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Negative</w:t>
            </w:r>
          </w:p>
        </w:tc>
        <w:tc>
          <w:tcPr>
            <w:tcW w:type="dxa" w:w="4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Larger zones have lower max BC — the small-graph inflation effect</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density</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+0.6890</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Positive</w:t>
            </w:r>
          </w:p>
        </w:tc>
        <w:tc>
          <w:tcPr>
            <w:tcW w:type="dxa" w:w="4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Sparser networks have higher BC concentration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global_efficiency</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+0.6496</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Positive</w:t>
            </w:r>
          </w:p>
        </w:tc>
        <w:tc>
          <w:tcPr>
            <w:tcW w:type="dxa" w:w="4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More efficient (short-path) networks have more dominant bottlenecks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wcc_fragmentation</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+0.6342</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Positive</w:t>
            </w:r>
          </w:p>
        </w:tc>
        <w:tc>
          <w:tcPr>
            <w:tcW w:type="dxa" w:w="4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More fragmented zones have higher peak BC (small-graph inflation)</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art_point_count</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−0.6035</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Negative</w:t>
            </w:r>
          </w:p>
        </w:tc>
        <w:tc>
          <w:tcPr>
            <w:tcW w:type="dxa" w:w="4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More articulation points → lower max BC: two orthogonal fragility dimensions</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path_length_p90_norm</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+0.5881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Positive</w:t>
            </w:r>
          </w:p>
        </w:tc>
        <w:tc>
          <w:tcPr>
            <w:tcW w:type="dxa" w:w="4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Zones with longer normalised paths have higher BC — tree-like routing</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avg_degree</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−0.5112</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Negative</w:t>
            </w:r>
          </w:p>
        </w:tc>
        <w:tc>
          <w:tcPr>
            <w:tcW w:type="dxa" w:w="4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Higher connectivity (more road junctions) reduces BC concentration</w:t>
            </w:r>
          </w:p>
        </w:tc>
      </w:tr>
      <w:tr>
        <w:tc>
          <w:tcPr>
            <w:tcW w:type="dxa" w:w="1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−0.2195</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&lt; 0.0001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Negative</w:t>
            </w:r>
          </w:p>
        </w:tc>
        <w:tc>
          <w:tcPr>
            <w:tcW w:type="dxa" w:w="4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Higher Gini (more unequal BC) → lower max BC — spread reduces peak</w:t>
            </w:r>
          </w:p>
        </w:tc>
      </w:tr>
      <w:tr>
        <w:tc>
          <w:tcPr>
            <w:tcW w:type="dxa" w:w="1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orientation_entropy</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+0.0195</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0.5843</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None</w:t>
            </w:r>
          </w:p>
        </w:tc>
        <w:tc>
          <w:tcPr>
            <w:tcW w:type="dxa" w:w="4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Street direction diversity has NO significant relationship with BC</w:t>
            </w:r>
          </w:p>
        </w:tc>
      </w:tr>
    </w:tbl>
    <w:p>
      <w:pPr>
        <w:spacing w:before="100" w:after="0"/>
      </w:pPr>
      <w:r>
        <w:t xml:space="preserve"/>
      </w:r>
    </w:p>
    <w:p>
      <w:pPr>
        <w:pBdr>
          <w:left w:val="single" w:color="C00000" w:sz="24" w:space="10"/>
        </w:pBdr>
        <w:spacing w:before="100" w:after="100" w:line="300"/>
        <w:ind w:left="360" w:right="120"/>
        <w:jc w:val="both"/>
      </w:pPr>
      <w:r>
        <w:rPr>
          <w:rFonts w:ascii="Arial" w:cs="Arial" w:eastAsia="Arial" w:hAnsi="Arial"/>
          <w:b/>
          <w:bCs/>
          <w:sz w:val="20"/>
          <w:szCs w:val="20"/>
        </w:rPr>
        <w:t xml:space="preserve">Critical finding — orientation entropy vs. betweenness centrality:</w:t>
      </w:r>
      <w:r>
        <w:rPr>
          <w:rFonts w:ascii="Arial" w:cs="Arial" w:eastAsia="Arial" w:hAnsi="Arial"/>
          <w:sz w:val="20"/>
          <w:szCs w:val="20"/>
        </w:rPr>
        <w:t xml:space="preserve"> Orientation entropy (the feature most associated with planned Grid vs. organic Maze morphology) has a Spearman correlation of r = 0.02 (p = 0.58) with maximum betweenness centrality. Street geometry and routing vulnerability are statistically independent dimensions of road network character. A zone with regular, grid-like street bearings can develop severe bottleneck concentration if its connectivity is low; conversely, an organic maze may have well-distributed routing load if its intersection density is high. This orthogonality constitutes the analytical justification for the TCGA framework: V3 morphological clustering and GAT betweenness analysis provide complementary, non-redundant signals.</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8.4  The Two Fragility Dimensions</w:t>
      </w:r>
    </w:p>
    <w:p>
      <w:pPr>
        <w:spacing w:before="60" w:after="100" w:line="288"/>
        <w:jc w:val="both"/>
      </w:pPr>
      <w:r>
        <w:rPr>
          <w:rFonts w:ascii="Arial" w:cs="Arial" w:eastAsia="Arial" w:hAnsi="Arial"/>
          <w:sz w:val="20"/>
          <w:szCs w:val="20"/>
        </w:rPr>
        <w:t xml:space="preserve">The negative correlation between max BC and art_point_count (r = −0.60, p &lt; 0.001) reveals two structurally distinct fragility mechanisms that are orthogonal rather than redundant:</w:t>
      </w:r>
    </w:p>
    <w:p>
      <w:pPr>
        <w:spacing w:before="60" w:after="0"/>
      </w:pPr>
      <w:r>
        <w:t xml:space="preserve"/>
      </w:r>
    </w:p>
    <w:p>
      <w:pPr>
        <w:pStyle w:val="ListParagraph"/>
        <w:numPr>
          <w:ilvl w:val="0"/>
          <w:numId w:val="2"/>
        </w:numPr>
        <w:spacing w:before="50" w:after="50" w:line="270"/>
      </w:pPr>
      <w:r>
        <w:rPr>
          <w:rFonts w:ascii="Arial" w:cs="Arial" w:eastAsia="Arial" w:hAnsi="Arial"/>
          <w:b/>
          <w:bCs/>
          <w:sz w:val="19"/>
          <w:szCs w:val="19"/>
        </w:rPr>
        <w:t xml:space="preserve">Betweenness concentration fragility:</w:t>
      </w:r>
      <w:r>
        <w:rPr>
          <w:rFonts w:ascii="Arial" w:cs="Arial" w:eastAsia="Arial" w:hAnsi="Arial"/>
          <w:sz w:val="19"/>
          <w:szCs w:val="19"/>
        </w:rPr>
        <w:t xml:space="preserve"> Zones with very high max BC (≥0.50) are vulnerable to targeted disruption of one dominant junction. A single flood, construction closure, or accident at the master node imposes a city-wide detour penalty on every trip crossing that zone. This is the fragility most directly associated with Cluster_0 zones: small, isolated sub-graphs where one node is structurally indispensable.</w:t>
      </w:r>
    </w:p>
    <w:p>
      <w:pPr>
        <w:pStyle w:val="ListParagraph"/>
        <w:numPr>
          <w:ilvl w:val="0"/>
          <w:numId w:val="2"/>
        </w:numPr>
        <w:spacing w:before="50" w:after="50" w:line="270"/>
      </w:pPr>
      <w:r>
        <w:rPr>
          <w:rFonts w:ascii="Arial" w:cs="Arial" w:eastAsia="Arial" w:hAnsi="Arial"/>
          <w:b/>
          <w:bCs/>
          <w:sz w:val="19"/>
          <w:szCs w:val="19"/>
        </w:rPr>
        <w:t xml:space="preserve">Articulation point fragility:</w:t>
      </w:r>
      <w:r>
        <w:rPr>
          <w:rFonts w:ascii="Arial" w:cs="Arial" w:eastAsia="Arial" w:hAnsi="Arial"/>
          <w:sz w:val="19"/>
          <w:szCs w:val="19"/>
        </w:rPr>
        <w:t xml:space="preserve"> Zones with many articulation points (&gt;200) are vulnerable to random failure anywhere in the network. Every branch root is a cut vertex. This fragility is structurally associated with Cluster_1 zones: large, continuously connected tree-like organic networks where every junction on a main route is potentially a cut vertex.</w:t>
      </w:r>
    </w:p>
    <w:p>
      <w:pPr>
        <w:spacing w:before="80" w:after="0"/>
      </w:pPr>
      <w:r>
        <w:t xml:space="preserve"/>
      </w:r>
    </w:p>
    <w:p>
      <w:pPr>
        <w:spacing w:before="60" w:after="100" w:line="288"/>
        <w:jc w:val="both"/>
      </w:pPr>
      <w:r>
        <w:rPr>
          <w:rFonts w:ascii="Arial" w:cs="Arial" w:eastAsia="Arial" w:hAnsi="Arial"/>
          <w:sz w:val="20"/>
          <w:szCs w:val="20"/>
        </w:rPr>
        <w:t xml:space="preserve">Neither fragility dimension alone is sufficient for policy targeting. A zone with high max BC but few articulation points (common in C0 zones) has one critical intersection and many redundant connections otherwise. A zone with many articulation points but moderate max BC (common in C1 zones) has widely distributed vulnerability with no single obviously dominant target. The most dangerous zones — from a policy perspective — are those with both high max BC and many articulation points, identified in Section 8.5.</w:t>
      </w:r>
    </w:p>
    <w:p>
      <w:pPr>
        <w:spacing w:before="80" w:after="0"/>
      </w:pPr>
      <w:r>
        <w:t xml:space="preserve"/>
      </w:r>
    </w:p>
    <w:p>
      <w:pPr>
        <w:spacing w:before="80" w:after="160"/>
        <w:jc w:val="center"/>
      </w:pPr>
      <w:r>
        <w:rPr>
          <w:rFonts w:ascii="Arial" w:cs="Arial" w:eastAsia="Arial" w:hAnsi="Arial"/>
          <w:b/>
          <w:bCs/>
          <w:color w:val="2E75B6"/>
          <w:sz w:val="19"/>
          <w:szCs w:val="19"/>
        </w:rPr>
        <w:t xml:space="preserve">[FIGURE 3] </w:t>
      </w:r>
      <w:r>
        <w:rPr>
          <w:rFonts w:ascii="Arial" w:cs="Arial" w:eastAsia="Arial" w:hAnsi="Arial"/>
          <w:i/>
          <w:iCs/>
          <w:color w:val="444444"/>
          <w:sz w:val="19"/>
          <w:szCs w:val="19"/>
        </w:rPr>
        <w:t xml:space="preserve">Scatter plot of max_bc vs. art_point_count for all 790 zones, coloured by cluster label. The negative Spearman correlation (r = −0.60) is visible as a downward-sloping cloud. Cluster_0 zones (red) cluster in the upper-left (high BC, few articulation points). Cluster_1 zones (blue) cluster in the lower-right (lower BC, many articulation points). [Insert city_distributions.png panel 3]</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8.5  Geographic Pattern of Structural Vulnerability</w:t>
      </w:r>
    </w:p>
    <w:p>
      <w:pPr>
        <w:pStyle w:val="Heading3"/>
        <w:spacing w:before="200" w:after="80"/>
      </w:pPr>
      <w:r>
        <w:rPr>
          <w:rFonts w:ascii="Arial" w:cs="Arial" w:eastAsia="Arial" w:hAnsi="Arial"/>
          <w:b/>
          <w:bCs/>
          <w:color w:val="333333"/>
          <w:sz w:val="21"/>
          <w:szCs w:val="21"/>
        </w:rPr>
        <w:t xml:space="preserve">8.5.1  Latitude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Latitude Band</w:t>
            </w:r>
          </w:p>
        </w:tc>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Zones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Mean Max BC</w:t>
            </w:r>
          </w:p>
        </w:tc>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C0%</w:t>
            </w:r>
          </w:p>
        </w:tc>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C1%</w:t>
            </w:r>
          </w:p>
        </w:tc>
        <w:tc>
          <w:tcPr>
            <w:tcW w:type="dxa" w:w="44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Named Areas</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23.65–23.70°N</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124</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0.427</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31%</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69%</w:t>
            </w:r>
          </w:p>
        </w:tc>
        <w:tc>
          <w:tcPr>
            <w:tcW w:type="dxa" w:w="44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Southern fringe: Keraniganj approach, sparse peripheral. Highest C0 concentration, highest BC.</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23.70–23.75°N</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130</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0.351</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19%</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81%</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Lower core: Old Dhaka, Lalbagh, Sadarghat. Dense organic, moderate BC — redundant lane network.</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23.75–23.80°N</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130</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0.362</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16%</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84%</w:t>
            </w:r>
          </w:p>
        </w:tc>
        <w:tc>
          <w:tcPr>
            <w:tcW w:type="dxa" w:w="44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Core: Motijheel, Dhanmondi, Tejgaon. Lowest C0%, moderate BC. Most resilient corridor.</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23.80–23.85°N</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136</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0.368</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13%</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87%</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Upper core: Mohammadpur, Mirpur approach. Lowest C0 share, near-average BC.</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23.85–23.90°N</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133</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0.367</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11%</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89%</w:t>
            </w:r>
          </w:p>
        </w:tc>
        <w:tc>
          <w:tcPr>
            <w:tcW w:type="dxa" w:w="44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North-central: Uttara approach. Predominantly C1, moderate BC.</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23.90–23.95°N</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137</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0.408</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22%</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78%</w:t>
            </w:r>
          </w:p>
        </w:tc>
        <w:tc>
          <w:tcPr>
            <w:tcW w:type="dxa" w:w="44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Northern fringe: Airport corridor, Diabari periphery. C0 rises, BC rises.</w:t>
            </w:r>
          </w:p>
        </w:tc>
      </w:tr>
    </w:tbl>
    <w:p>
      <w:pPr>
        <w:spacing w:before="80" w:after="0"/>
      </w:pPr>
      <w:r>
        <w:t xml:space="preserve"/>
      </w:r>
    </w:p>
    <w:p>
      <w:pPr>
        <w:pStyle w:val="Heading3"/>
        <w:spacing w:before="200" w:after="80"/>
      </w:pPr>
      <w:r>
        <w:rPr>
          <w:rFonts w:ascii="Arial" w:cs="Arial" w:eastAsia="Arial" w:hAnsi="Arial"/>
          <w:b/>
          <w:bCs/>
          <w:color w:val="333333"/>
          <w:sz w:val="21"/>
          <w:szCs w:val="21"/>
        </w:rPr>
        <w:t xml:space="preserve">8.5.2  Longitude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5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Longitude Band</w:t>
            </w:r>
          </w:p>
        </w:tc>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Zones</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Mean Max BC</w:t>
            </w:r>
          </w:p>
        </w:tc>
        <w:tc>
          <w:tcPr>
            <w:tcW w:type="dxa" w:w="7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C0%</w:t>
            </w:r>
          </w:p>
        </w:tc>
        <w:tc>
          <w:tcPr>
            <w:tcW w:type="dxa" w:w="50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Named Areas</w:t>
            </w:r>
          </w:p>
        </w:tc>
      </w:tr>
      <w:tr>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90.25–90.30°E</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162</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0.400</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27%</w:t>
            </w:r>
          </w:p>
        </w:tc>
        <w:tc>
          <w:tcPr>
            <w:tcW w:type="dxa" w:w="50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Far west: Keraniganj approach, sparse peripheral zones.</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90.30–90.35°E</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145</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0.415</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29%</w:t>
            </w:r>
          </w:p>
        </w:tc>
        <w:tc>
          <w:tcPr>
            <w:tcW w:type="dxa" w:w="50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West: Hazaribagh, Mohammadpur west. Highest mean BC by longitude.</w:t>
            </w:r>
          </w:p>
        </w:tc>
      </w:tr>
      <w:tr>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90.35–90.40°E</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197</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0.330</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w:t>
            </w:r>
          </w:p>
        </w:tc>
        <w:tc>
          <w:tcPr>
            <w:tcW w:type="dxa" w:w="50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Central spine: Dhanmondi to Motijheel. LOWEST BC (0.330), LOWEST C0% (9%). Best-connected corridor.</w:t>
            </w:r>
          </w:p>
        </w:tc>
      </w:tr>
      <w:tr>
        <w:tc>
          <w:tcPr>
            <w:tcW w:type="dxa" w:w="15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90.40–90.45°E</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171</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0.348</w:t>
            </w:r>
          </w:p>
        </w:tc>
        <w:tc>
          <w:tcPr>
            <w:tcW w:type="dxa" w:w="7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6%</w:t>
            </w:r>
          </w:p>
        </w:tc>
        <w:tc>
          <w:tcPr>
            <w:tcW w:type="dxa" w:w="50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East-central: Gulshan, Banani, Baridhara. Planned, lowest C0% (6%).</w:t>
            </w:r>
          </w:p>
        </w:tc>
      </w:tr>
      <w:tr>
        <w:tc>
          <w:tcPr>
            <w:tcW w:type="dxa" w:w="15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90.45–90.48°E</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115</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0.441</w:t>
            </w:r>
          </w:p>
        </w:tc>
        <w:tc>
          <w:tcPr>
            <w:tcW w:type="dxa" w:w="7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29%</w:t>
            </w:r>
          </w:p>
        </w:tc>
        <w:tc>
          <w:tcPr>
            <w:tcW w:type="dxa" w:w="50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Far east: Demra, Rayer Bazar fringe. HIGHEST BC (0.441), high C0%. Most vulnerable longitudinal band.</w:t>
            </w:r>
          </w:p>
        </w:tc>
      </w:tr>
    </w:tbl>
    <w:p>
      <w:pPr>
        <w:spacing w:before="80" w:after="0"/>
      </w:pPr>
      <w:r>
        <w:t xml:space="preserve"/>
      </w:r>
    </w:p>
    <w:p>
      <w:pPr>
        <w:spacing w:before="60" w:after="100" w:line="288"/>
        <w:jc w:val="both"/>
      </w:pPr>
      <w:r>
        <w:rPr>
          <w:rFonts w:ascii="Arial" w:cs="Arial" w:eastAsia="Arial" w:hAnsi="Arial"/>
          <w:sz w:val="20"/>
          <w:szCs w:val="20"/>
        </w:rPr>
        <w:t xml:space="preserve">Structural vulnerability follows a clear spatial pattern: the longitudinal central spine (90.35–90.40°E), encompassing Dhanmondi, Tejgaon, and Motijheel, has the lowest mean max BC (0.330) and the lowest C0 concentration (9%). Fragility rises in both directions — westward toward the river and eastward toward the fringe. Latitudinally, the core (23.75–23.85°N) is most resilient; both the southern tip and northern periphery show elevated BC and C0 concentration.</w:t>
      </w:r>
    </w:p>
    <w:p>
      <w:pPr>
        <w:spacing w:before="80" w:after="0"/>
      </w:pPr>
      <w:r>
        <w:t xml:space="preserve"/>
      </w:r>
    </w:p>
    <w:p>
      <w:pPr>
        <w:spacing w:before="80" w:after="160"/>
        <w:jc w:val="center"/>
      </w:pPr>
      <w:r>
        <w:rPr>
          <w:rFonts w:ascii="Arial" w:cs="Arial" w:eastAsia="Arial" w:hAnsi="Arial"/>
          <w:b/>
          <w:bCs/>
          <w:color w:val="2E75B6"/>
          <w:sz w:val="19"/>
          <w:szCs w:val="19"/>
        </w:rPr>
        <w:t xml:space="preserve">[FIGURE 4] </w:t>
      </w:r>
      <w:r>
        <w:rPr>
          <w:rFonts w:ascii="Arial" w:cs="Arial" w:eastAsia="Arial" w:hAnsi="Arial"/>
          <w:i/>
          <w:iCs/>
          <w:color w:val="444444"/>
          <w:sz w:val="19"/>
          <w:szCs w:val="19"/>
        </w:rPr>
        <w:t xml:space="preserve">City-wide map of master nodes (highest-BC intersection per zone), sized and coloured by max_bc value. The spatial concentration of high-BC zones at the periphery (north-east corridor 90.43–90.47°E, 23.83–23.91°N) and south-west fringe is clearly visible. [Insert city_master_nodes.png]</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8.6  High-Priority Target Zones</w:t>
      </w:r>
    </w:p>
    <w:p>
      <w:pPr>
        <w:pStyle w:val="Heading3"/>
        <w:spacing w:before="200" w:after="80"/>
      </w:pPr>
      <w:r>
        <w:rPr>
          <w:rFonts w:ascii="Arial" w:cs="Arial" w:eastAsia="Arial" w:hAnsi="Arial"/>
          <w:b/>
          <w:bCs/>
          <w:color w:val="333333"/>
          <w:sz w:val="21"/>
          <w:szCs w:val="21"/>
        </w:rPr>
        <w:t xml:space="preserve">8.6.1  Top 10 Zones by Maximum Betweenness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Zone</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Max BC</w:t>
            </w:r>
          </w:p>
        </w:tc>
        <w:tc>
          <w:tcPr>
            <w:tcW w:type="dxa" w:w="1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Cluster</w:t>
            </w:r>
          </w:p>
        </w:tc>
        <w:tc>
          <w:tcPr>
            <w:tcW w:type="dxa" w:w="9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Nodes</w:t>
            </w:r>
          </w:p>
        </w:tc>
        <w:tc>
          <w:tcPr>
            <w:tcW w:type="dxa" w:w="9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Art Pts</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Lat °N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Lon °E</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Zone_DH378</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0.711</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34</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23.900</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90.346</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Zone_DH860</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0.705</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C1</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96</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41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23.835</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90.475</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Zone_DH793</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0.693</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76</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20</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23.858</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90.465</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Zone_DH762</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0.679</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59</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18</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23.888</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90.449</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Zone_DH722</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0.674</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84</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36</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23.850</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90.443</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Zone_DH801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0.671</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C1</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27</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23.929</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90.462</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Zone_DH344</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0.670</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71</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23.905</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90.328</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Zone_DH758</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0.669</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31</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23.860</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90.452</w:t>
            </w:r>
          </w:p>
        </w:tc>
      </w:tr>
      <w:tr>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Zone_DH389</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0.667</w:t>
            </w:r>
          </w:p>
        </w:tc>
        <w:tc>
          <w:tcPr>
            <w:tcW w:type="dxa" w:w="1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63</w:t>
            </w:r>
          </w:p>
        </w:tc>
        <w:tc>
          <w:tcPr>
            <w:tcW w:type="dxa" w:w="9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19</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23.685</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90.363</w:t>
            </w:r>
          </w:p>
        </w:tc>
      </w:tr>
      <w:tr>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Zone_DH300</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0.662</w:t>
            </w:r>
          </w:p>
        </w:tc>
        <w:tc>
          <w:tcPr>
            <w:tcW w:type="dxa" w:w="1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30</w:t>
            </w:r>
          </w:p>
        </w:tc>
        <w:tc>
          <w:tcPr>
            <w:tcW w:type="dxa" w:w="9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13</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23.833</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90.321</w:t>
            </w:r>
          </w:p>
        </w:tc>
      </w:tr>
    </w:tbl>
    <w:p>
      <w:pPr>
        <w:spacing w:before="80" w:after="0"/>
      </w:pPr>
      <w:r>
        <w:t xml:space="preserve"/>
      </w:r>
    </w:p>
    <w:p>
      <w:pPr>
        <w:spacing w:before="60" w:after="100" w:line="288"/>
        <w:jc w:val="both"/>
      </w:pPr>
      <w:r>
        <w:rPr>
          <w:rFonts w:ascii="Arial" w:cs="Arial" w:eastAsia="Arial" w:hAnsi="Arial"/>
          <w:sz w:val="20"/>
          <w:szCs w:val="20"/>
        </w:rPr>
        <w:t xml:space="preserve">Seven of the top 10 zones belong to Cluster_0 (Fragmented). As explained in Section 8.2.1, this reflects the small-graph inflation effect: small disconnected sub-graphs produce inflated normalised BC values. The most analytically significant entries are the three Cluster_1 zones (Zone_DH860, Zone_DH801) where the bottleneck is genuine.</w:t>
      </w:r>
    </w:p>
    <w:p>
      <w:pPr>
        <w:spacing w:before="80" w:after="0"/>
      </w:pPr>
      <w:r>
        <w:t xml:space="preserve"/>
      </w:r>
    </w:p>
    <w:p>
      <w:pPr>
        <w:pStyle w:val="Heading3"/>
        <w:spacing w:before="200" w:after="80"/>
      </w:pPr>
      <w:r>
        <w:rPr>
          <w:rFonts w:ascii="Arial" w:cs="Arial" w:eastAsia="Arial" w:hAnsi="Arial"/>
          <w:b/>
          <w:bCs/>
          <w:color w:val="333333"/>
          <w:sz w:val="21"/>
          <w:szCs w:val="21"/>
        </w:rPr>
        <w:t xml:space="preserve">8.6.2  Primary Case Study: Zone_DH547</w:t>
      </w:r>
    </w:p>
    <w:p>
      <w:pPr>
        <w:spacing w:before="60" w:after="100" w:line="288"/>
        <w:jc w:val="both"/>
      </w:pPr>
      <w:r>
        <w:rPr>
          <w:rFonts w:ascii="Arial" w:cs="Arial" w:eastAsia="Arial" w:hAnsi="Arial"/>
          <w:sz w:val="20"/>
          <w:szCs w:val="20"/>
        </w:rPr>
        <w:t xml:space="preserve">Zone_DH547 is the most analytically significant zone in the GAT dataset for the TCGA argument: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6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Property</w:t>
            </w:r>
          </w:p>
        </w:tc>
        <w:tc>
          <w:tcPr>
            <w:tcW w:type="dxa" w:w="2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Value</w:t>
            </w:r>
          </w:p>
        </w:tc>
        <w:tc>
          <w:tcPr>
            <w:tcW w:type="dxa" w:w="47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Significance</w:t>
            </w:r>
          </w:p>
        </w:tc>
      </w:tr>
      <w:tr>
        <w:tc>
          <w:tcPr>
            <w:tcW w:type="dxa" w:w="2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Cluster label</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Cluster_1 (Organic)</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Large, continuously connected organic network — not a small fragmented sub-graph</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Max BC</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0.609</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One intersection controls 60.9% of all routing in a 242-node network</w:t>
            </w:r>
          </w:p>
        </w:tc>
      </w:tr>
      <w:tr>
        <w:tc>
          <w:tcPr>
            <w:tcW w:type="dxa" w:w="2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Node count</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242</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Large enough that small-graph inflation cannot explain the BC value</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Articulation points</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57</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57 additional nodes whose removal would disconnect the graph</w:t>
            </w:r>
          </w:p>
        </w:tc>
      </w:tr>
      <w:tr>
        <w:tc>
          <w:tcPr>
            <w:tcW w:type="dxa" w:w="26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Master node (OSM)</w:t>
            </w:r>
          </w:p>
        </w:tc>
        <w:tc>
          <w:tcPr>
            <w:tcW w:type="dxa" w:w="2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GPS: 23.84168°N, 90.38729°E</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Verifiable real-world intersection; exact policy target</w:t>
            </w:r>
          </w:p>
        </w:tc>
      </w:tr>
      <w:tr>
        <w:tc>
          <w:tcPr>
            <w:tcW w:type="dxa" w:w="26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Location</w:t>
            </w:r>
          </w:p>
        </w:tc>
        <w:tc>
          <w:tcPr>
            <w:tcW w:type="dxa" w:w="2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Mirpur-Kafrul corridor</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Rapidly growing organic neighbourhood</w:t>
            </w:r>
          </w:p>
        </w:tc>
      </w:tr>
    </w:tbl>
    <w:p>
      <w:pPr>
        <w:spacing w:before="80" w:after="0"/>
      </w:pPr>
      <w:r>
        <w:t xml:space="preserve"/>
      </w:r>
    </w:p>
    <w:p>
      <w:pPr>
        <w:pBdr>
          <w:left w:val="single" w:color="1F3864" w:sz="24" w:space="10"/>
        </w:pBdr>
        <w:spacing w:before="100" w:after="100" w:line="300"/>
        <w:ind w:left="360" w:right="120"/>
        <w:jc w:val="both"/>
      </w:pPr>
      <w:r>
        <w:rPr>
          <w:rFonts w:ascii="Arial" w:cs="Arial" w:eastAsia="Arial" w:hAnsi="Arial"/>
          <w:b/>
          <w:bCs/>
          <w:sz w:val="20"/>
          <w:szCs w:val="20"/>
        </w:rPr>
        <w:t xml:space="preserve">Why Zone_DH547 is the paper’s central case study:</w:t>
      </w:r>
      <w:r>
        <w:rPr>
          <w:rFonts w:ascii="Arial" w:cs="Arial" w:eastAsia="Arial" w:hAnsi="Arial"/>
          <w:sz w:val="20"/>
          <w:szCs w:val="20"/>
        </w:rPr>
        <w:t xml:space="preserve"> The combination of large graph (242 nodes), Cluster_1 classification (organic connected network), and BC = 0.609 cannot be explained by small-graph inflation or network fragmentation. One real intersection in a living Dhaka neighbourhood structurally mediates 61% of all routing for 242 intersections. Close this intersection for resurfacing or flood damage, and every origin-destination pair routing through it must find an alternative path — a network-wide detour penalty that can be precisely computed and that has no equivalent metric in density- or morphology-based planning frameworks.</w:t>
      </w:r>
    </w:p>
    <w:p>
      <w:pPr>
        <w:spacing w:before="80" w:after="0"/>
      </w:pPr>
      <w:r>
        <w:t xml:space="preserve"/>
      </w:r>
    </w:p>
    <w:p>
      <w:pPr>
        <w:pStyle w:val="Heading3"/>
        <w:spacing w:before="200" w:after="80"/>
      </w:pPr>
      <w:r>
        <w:rPr>
          <w:rFonts w:ascii="Arial" w:cs="Arial" w:eastAsia="Arial" w:hAnsi="Arial"/>
          <w:b/>
          <w:bCs/>
          <w:color w:val="333333"/>
          <w:sz w:val="21"/>
          <w:szCs w:val="21"/>
        </w:rPr>
        <w:t xml:space="preserve">8.6.3  High-Priority C1 Zones: Genuine Structural Bottlenecks</w:t>
      </w:r>
    </w:p>
    <w:p>
      <w:pPr>
        <w:spacing w:before="60" w:after="100" w:line="288"/>
        <w:jc w:val="both"/>
      </w:pPr>
      <w:r>
        <w:rPr>
          <w:rFonts w:ascii="Arial" w:cs="Arial" w:eastAsia="Arial" w:hAnsi="Arial"/>
          <w:sz w:val="20"/>
          <w:szCs w:val="20"/>
        </w:rPr>
        <w:t xml:space="preserve">The 10 Cluster_1 zones with max BC above 0.60 are the most critical policy targets city-wide: large, continuously connected networks where one intersection genuinely dominates routing.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tcW w:type="dxa" w:w="13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Zone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Max BC</w:t>
            </w:r>
          </w:p>
        </w:tc>
        <w:tc>
          <w:tcPr>
            <w:tcW w:type="dxa" w:w="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Nodes</w:t>
            </w:r>
          </w:p>
        </w:tc>
        <w:tc>
          <w:tcPr>
            <w:tcW w:type="dxa" w:w="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Art Pts</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Lat °N</w:t>
            </w:r>
          </w:p>
        </w:tc>
        <w:tc>
          <w:tcPr>
            <w:tcW w:type="dxa" w:w="11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Lon °E</w:t>
            </w:r>
          </w:p>
        </w:tc>
        <w:tc>
          <w:tcPr>
            <w:tcW w:type="dxa" w:w="32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Policy Note</w:t>
            </w:r>
          </w:p>
        </w:tc>
      </w:tr>
      <w:tr>
        <w:tc>
          <w:tcPr>
            <w:tcW w:type="dxa" w:w="13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Zone_DH860</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0.705</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96</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41</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23.835</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90.475</w:t>
            </w:r>
          </w:p>
        </w:tc>
        <w:tc>
          <w:tcPr>
            <w:tcW w:type="dxa" w:w="3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East fringe, organic corridor. 96-node continuous network.</w:t>
            </w:r>
          </w:p>
        </w:tc>
      </w:tr>
      <w:tr>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Zone_DH801</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0.671</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70</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27</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23.929</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90.462</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North-east periphery. 70-node network with 27 art points.</w:t>
            </w:r>
          </w:p>
        </w:tc>
      </w:tr>
      <w:tr>
        <w:tc>
          <w:tcPr>
            <w:tcW w:type="dxa" w:w="13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Zone_DH816</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0.649</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68</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37</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23.750</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90.471</w:t>
            </w:r>
          </w:p>
        </w:tc>
        <w:tc>
          <w:tcPr>
            <w:tcW w:type="dxa" w:w="3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East-central fringe. Moderate size, high BC.</w:t>
            </w:r>
          </w:p>
        </w:tc>
      </w:tr>
      <w:tr>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Zone_DH779</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0.642</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174</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73</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23.732</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90.464</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Large 174-node zone. BC = 0.64 is a genuine network-scale bottleneck.</w:t>
            </w:r>
          </w:p>
        </w:tc>
      </w:tr>
      <w:tr>
        <w:tc>
          <w:tcPr>
            <w:tcW w:type="dxa" w:w="13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Zone_DH547</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0.609</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242</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57</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23.849</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90.395</w:t>
            </w:r>
          </w:p>
        </w:tc>
        <w:tc>
          <w:tcPr>
            <w:tcW w:type="dxa" w:w="3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PRIMARY CASE STUDY. See Section 8.5.2.</w:t>
            </w:r>
          </w:p>
        </w:tc>
      </w:tr>
      <w:tr>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Zone_DH387</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0.627</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107</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40</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23.664</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90.361</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South corridor fringe. Organic network, single access bottleneck.</w:t>
            </w:r>
          </w:p>
        </w:tc>
      </w:tr>
      <w:tr>
        <w:tc>
          <w:tcPr>
            <w:tcW w:type="dxa" w:w="13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Zone_DH761</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0.623</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128</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62</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23.883</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90.449</w:t>
            </w:r>
          </w:p>
        </w:tc>
        <w:tc>
          <w:tcPr>
            <w:tcW w:type="dxa" w:w="3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North-east organic corridor.</w:t>
            </w:r>
          </w:p>
        </w:tc>
      </w:tr>
      <w:tr>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Zone_DH380</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0.610</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84</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25</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23.916</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90.353</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North fringe. Access road bottleneck.</w:t>
            </w:r>
          </w:p>
        </w:tc>
      </w:tr>
      <w:tr>
        <w:tc>
          <w:tcPr>
            <w:tcW w:type="dxa" w:w="13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Zone_DH189</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0.604</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139</w:t>
            </w:r>
          </w:p>
        </w:tc>
        <w:tc>
          <w:tcPr>
            <w:tcW w:type="dxa" w:w="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37</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23.773</w:t>
            </w:r>
          </w:p>
        </w:tc>
        <w:tc>
          <w:tcPr>
            <w:tcW w:type="dxa" w:w="11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90.302</w:t>
            </w:r>
          </w:p>
        </w:tc>
        <w:tc>
          <w:tcPr>
            <w:tcW w:type="dxa" w:w="32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West organic corridor. 139 nodes.</w:t>
            </w:r>
          </w:p>
        </w:tc>
      </w:tr>
      <w:tr>
        <w:tc>
          <w:tcPr>
            <w:tcW w:type="dxa" w:w="13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Zone_DH080</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0.601</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93</w:t>
            </w:r>
          </w:p>
        </w:tc>
        <w:tc>
          <w:tcPr>
            <w:tcW w:type="dxa" w:w="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30</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23.737</w:t>
            </w:r>
          </w:p>
        </w:tc>
        <w:tc>
          <w:tcPr>
            <w:tcW w:type="dxa" w:w="11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90.277</w:t>
            </w:r>
          </w:p>
        </w:tc>
        <w:tc>
          <w:tcPr>
            <w:tcW w:type="dxa" w:w="32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Far west fringe. River-corridor bottleneck.</w:t>
            </w:r>
          </w:p>
        </w:tc>
      </w:tr>
    </w:tbl>
    <w:p>
      <w:pPr>
        <w:spacing w:before="200" w:after="0"/>
      </w:pPr>
      <w:r>
        <w:t xml:space="preserve"/>
      </w:r>
    </w:p>
    <w:p>
      <w:pPr>
        <w:pStyle w:val="Heading1"/>
        <w:spacing w:before="360" w:after="180"/>
      </w:pPr>
      <w:r>
        <w:rPr>
          <w:rFonts w:ascii="Arial" w:cs="Arial" w:eastAsia="Arial" w:hAnsi="Arial"/>
          <w:b/>
          <w:bCs/>
          <w:color w:val="1F3864"/>
          <w:sz w:val="30"/>
          <w:szCs w:val="30"/>
        </w:rPr>
        <w:t xml:space="preserve">9.  Connecting V3 and GAT: The Topology-Conditioned Framework</w:t>
      </w:r>
    </w:p>
    <w:p>
      <w:pPr>
        <w:pStyle w:val="Heading2"/>
        <w:spacing w:before="280" w:after="120"/>
      </w:pPr>
      <w:r>
        <w:rPr>
          <w:rFonts w:ascii="Arial" w:cs="Arial" w:eastAsia="Arial" w:hAnsi="Arial"/>
          <w:b/>
          <w:bCs/>
          <w:color w:val="2E75B6"/>
          <w:sz w:val="24"/>
          <w:szCs w:val="24"/>
        </w:rPr>
        <w:t xml:space="preserve">9.1  Feature Correspondence</w:t>
      </w:r>
    </w:p>
    <w:p>
      <w:pPr>
        <w:spacing w:before="60" w:after="100" w:line="288"/>
        <w:jc w:val="both"/>
      </w:pPr>
      <w:r>
        <w:rPr>
          <w:rFonts w:ascii="Arial" w:cs="Arial" w:eastAsia="Arial" w:hAnsi="Arial"/>
          <w:sz w:val="20"/>
          <w:szCs w:val="20"/>
        </w:rPr>
        <w:t xml:space="preserve">The V3 pipeline computed 27 zone-level topological features used for clustering. The GAT pipeline produces a complementary set of outputs. The table below maps each V3 feature to its GAT counterpart and establishes the analytical relationship between them.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V3 Feature</w:t>
            </w:r>
          </w:p>
        </w:tc>
        <w:tc>
          <w:tcPr>
            <w:tcW w:type="dxa" w:w="22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GAT Counterpart</w:t>
            </w:r>
          </w:p>
        </w:tc>
        <w:tc>
          <w:tcPr>
            <w:tcW w:type="dxa" w:w="47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Relationship and Significance</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betweenness_gini (approx, k=50)</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max_bc / mean_bc ratio (exact)</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V3 measured BC inequality with k=50 sampled paths. GAT provides the exact full distribution. Spearman r = −0.22 between Gini and max_bc shows they are non-redundant: Gini measures distributional spread; max_bc measures the absolute peak.</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orientation_entropy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(No counterpart — orthogonal)</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Orientation entropy has r = 0.02 (p = 0.58) with max_bc. Street geometry and routing bottleneck concentration are independent dimensions. This is not a deficiency but a discovery: morphological type and routing vulnerability require separate measurement.</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wcc_fragmentation</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art_point_count</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wcc_fragmentation = already disconnected (r = +0.63 with max_bc). art_point_count = one step from disconnected. GAT captures latent fragility; V3 captured realised fragility. Both are needed for a complete structural risk assessment.</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hub_dominance_ratio</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master_degree / avg_degree</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Hub dominance is degree-based (physical connectivity). Master node dominance is path-based (information flow). Complementary: a low-degree node can have extreme BC if it is a bridge between network communities.</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mean_betweenness_centrality</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max_bc, p95_bc, p99_bc</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V3 kept one mean scalar (r = +0.75 with max_bc). GAT provides the full distributional tail. The tail — not the mean — determines policy priority, since planners need to target the worst case, not the average.</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global_efficiency</w:t>
            </w:r>
          </w:p>
        </w:tc>
        <w:tc>
          <w:tcPr>
            <w:tcW w:type="dxa" w:w="22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 (inverse relationship)</w:t>
            </w:r>
          </w:p>
        </w:tc>
        <w:tc>
          <w:tcPr>
            <w:tcW w:type="dxa" w:w="47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Global efficiency measures how efficiently routes distribute. High efficiency + high max_bc (r = +0.65) means small, well-connected networks where one node inevitably dominates short paths. The pairing explains C0 cluster behaviour.</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avg_degree</w:t>
            </w:r>
          </w:p>
        </w:tc>
        <w:tc>
          <w:tcPr>
            <w:tcW w:type="dxa" w:w="22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(negative correlation, r = −0.51)</w:t>
            </w:r>
          </w:p>
        </w:tc>
        <w:tc>
          <w:tcPr>
            <w:tcW w:type="dxa" w:w="47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Higher connectivity reduces BC concentration. V3’s avg_degree and GAT’s max_bc together quantify the inverse relationship between physical junction density and routing vulnerability.</w:t>
            </w:r>
          </w:p>
        </w:tc>
      </w:tr>
    </w:tbl>
    <w:p>
      <w:pPr>
        <w:spacing w:before="120" w:after="0"/>
      </w:pPr>
      <w:r>
        <w:t xml:space="preserve"/>
      </w:r>
    </w:p>
    <w:p>
      <w:pPr>
        <w:pStyle w:val="Heading2"/>
        <w:spacing w:before="280" w:after="120"/>
      </w:pPr>
      <w:r>
        <w:rPr>
          <w:rFonts w:ascii="Arial" w:cs="Arial" w:eastAsia="Arial" w:hAnsi="Arial"/>
          <w:b/>
          <w:bCs/>
          <w:color w:val="2E75B6"/>
          <w:sz w:val="24"/>
          <w:szCs w:val="24"/>
        </w:rPr>
        <w:t xml:space="preserve">9.2  The TCGA Re-Weighting Logic</w:t>
      </w:r>
    </w:p>
    <w:p>
      <w:pPr>
        <w:spacing w:before="60" w:after="100" w:line="288"/>
        <w:jc w:val="both"/>
      </w:pPr>
      <w:r>
        <w:rPr>
          <w:rFonts w:ascii="Arial" w:cs="Arial" w:eastAsia="Arial" w:hAnsi="Arial"/>
          <w:sz w:val="20"/>
          <w:szCs w:val="20"/>
        </w:rPr>
        <w:t xml:space="preserve">The Topology-Conditioned Graph Attention (TCGA) contribution is the joint conditioning of betweenness-based vulnerability on morphological cluster membership. The framework operates in three steps:</w:t>
      </w:r>
    </w:p>
    <w:p>
      <w:pPr>
        <w:spacing w:before="60" w:after="0"/>
      </w:pPr>
      <w:r>
        <w:t xml:space="preserve"/>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Morphological typing (V3):</w:t>
      </w:r>
      <w:r>
        <w:rPr>
          <w:rFonts w:ascii="Arial" w:cs="Arial" w:eastAsia="Arial" w:hAnsi="Arial"/>
          <w:sz w:val="19"/>
          <w:szCs w:val="19"/>
        </w:rPr>
        <w:t xml:space="preserve"> Each zone is assigned to Cluster_0 (Fragmented Peripheral) or Cluster_1 (Organic Connected) based on 27 topological features. This provides the structural context.</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Raw betweenness computation (GAT):</w:t>
      </w:r>
      <w:r>
        <w:rPr>
          <w:rFonts w:ascii="Arial" w:cs="Arial" w:eastAsia="Arial" w:hAnsi="Arial"/>
          <w:sz w:val="19"/>
          <w:szCs w:val="19"/>
        </w:rPr>
        <w:t xml:space="preserve"> Exact betweenness centrality is computed for every intersection in every zone, yielding the master node and tier structure.</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Topology-conditioned re-weighting:</w:t>
      </w:r>
      <w:r>
        <w:rPr>
          <w:rFonts w:ascii="Arial" w:cs="Arial" w:eastAsia="Arial" w:hAnsi="Arial"/>
          <w:sz w:val="19"/>
          <w:szCs w:val="19"/>
        </w:rPr>
        <w:t xml:space="preserve"> The raw BC value is adjusted for zone type and size: BC_{adjusted} = BC_{raw} × (cluster_weight) / √node_count. Cluster_1 zones receive a higher cluster_weight than Cluster_0 zones, reflecting the fact that high BC in a large connected organic network represents a more severe real-world risk than the same BC value in a small fragmented sub-graph.</w:t>
      </w:r>
    </w:p>
    <w:p>
      <w:pPr>
        <w:spacing w:before="80" w:after="0"/>
      </w:pPr>
      <w:r>
        <w:t xml:space="preserve"/>
      </w:r>
    </w:p>
    <w:p>
      <w:pPr>
        <w:spacing w:before="60" w:after="100" w:line="288"/>
        <w:jc w:val="both"/>
      </w:pPr>
      <w:r>
        <w:rPr>
          <w:rFonts w:ascii="Arial" w:cs="Arial" w:eastAsia="Arial" w:hAnsi="Arial"/>
          <w:sz w:val="20"/>
          <w:szCs w:val="20"/>
        </w:rPr>
        <w:t xml:space="preserve">This re-weighting produces a city-wide ranking of intersections by policy-adjusted vulnerability — a ranking that is impossible to produce from either V3 or GAT outputs alone.</w:t>
      </w:r>
    </w:p>
    <w:p>
      <w:pPr>
        <w:spacing w:before="60" w:after="0"/>
      </w:pPr>
      <w:r>
        <w:t xml:space="preserve"/>
      </w:r>
    </w:p>
    <w:p>
      <w:pPr>
        <w:pBdr>
          <w:left w:val="single" w:color="1F3864" w:sz="24" w:space="10"/>
        </w:pBdr>
        <w:spacing w:before="100" w:after="100" w:line="300"/>
        <w:ind w:left="360" w:right="120"/>
        <w:jc w:val="both"/>
      </w:pPr>
      <w:r>
        <w:rPr>
          <w:rFonts w:ascii="Arial" w:cs="Arial" w:eastAsia="Arial" w:hAnsi="Arial"/>
          <w:b/>
          <w:bCs/>
          <w:sz w:val="20"/>
          <w:szCs w:val="20"/>
        </w:rPr>
        <w:t xml:space="preserve">Why neither stage alone is sufficient:</w:t>
      </w:r>
      <w:r>
        <w:rPr>
          <w:rFonts w:ascii="Arial" w:cs="Arial" w:eastAsia="Arial" w:hAnsi="Arial"/>
          <w:sz w:val="20"/>
          <w:szCs w:val="20"/>
        </w:rPr>
        <w:t xml:space="preserve"> V3 alone identifies which zones are morphologically distinct but cannot identify which specific intersection within each zone is the bottleneck. GAT alone provides intersection-level BC scores but does not adjust for the structural context that determines whether those scores represent genuine risk or small-graph inflation. TCGA — the combination — provides both dimensions simultaneously.</w:t>
      </w:r>
    </w:p>
    <w:p>
      <w:pPr>
        <w:spacing w:before="120" w:after="0"/>
      </w:pPr>
      <w:r>
        <w:t xml:space="preserve"/>
      </w:r>
    </w:p>
    <w:p>
      <w:pPr>
        <w:pStyle w:val="Heading2"/>
        <w:spacing w:before="280" w:after="120"/>
      </w:pPr>
      <w:r>
        <w:rPr>
          <w:rFonts w:ascii="Arial" w:cs="Arial" w:eastAsia="Arial" w:hAnsi="Arial"/>
          <w:b/>
          <w:bCs/>
          <w:color w:val="2E75B6"/>
          <w:sz w:val="24"/>
          <w:szCs w:val="24"/>
        </w:rPr>
        <w:t xml:space="preserve">9.3  Policy Implications</w:t>
      </w:r>
    </w:p>
    <w:p>
      <w:pPr>
        <w:pStyle w:val="Heading3"/>
        <w:spacing w:before="200" w:after="80"/>
      </w:pPr>
      <w:r>
        <w:rPr>
          <w:rFonts w:ascii="Arial" w:cs="Arial" w:eastAsia="Arial" w:hAnsi="Arial"/>
          <w:b/>
          <w:bCs/>
          <w:color w:val="333333"/>
          <w:sz w:val="21"/>
          <w:szCs w:val="21"/>
        </w:rPr>
        <w:t xml:space="preserve">9.3.1  Infrastructure Investment Prioritisation</w:t>
      </w:r>
    </w:p>
    <w:p>
      <w:pPr>
        <w:spacing w:before="60" w:after="100" w:line="288"/>
        <w:jc w:val="both"/>
      </w:pPr>
      <w:r>
        <w:rPr>
          <w:rFonts w:ascii="Arial" w:cs="Arial" w:eastAsia="Arial" w:hAnsi="Arial"/>
          <w:sz w:val="20"/>
          <w:szCs w:val="20"/>
        </w:rPr>
        <w:t xml:space="preserve">The TCGA output provides three tiers of actionable intelligence:</w:t>
      </w:r>
    </w:p>
    <w:p>
      <w:pPr>
        <w:spacing w:before="60" w:after="0"/>
      </w:pPr>
      <w:r>
        <w:t xml:space="preserve"/>
      </w:r>
    </w:p>
    <w:p>
      <w:pPr>
        <w:pStyle w:val="ListParagraph"/>
        <w:numPr>
          <w:ilvl w:val="0"/>
          <w:numId w:val="2"/>
        </w:numPr>
        <w:spacing w:before="50" w:after="50" w:line="270"/>
      </w:pPr>
      <w:r>
        <w:rPr>
          <w:rFonts w:ascii="Arial" w:cs="Arial" w:eastAsia="Arial" w:hAnsi="Arial"/>
          <w:b/>
          <w:bCs/>
          <w:sz w:val="19"/>
          <w:szCs w:val="19"/>
        </w:rPr>
        <w:t xml:space="preserve">Tier A — Immediate structural intervention:</w:t>
      </w:r>
      <w:r>
        <w:rPr>
          <w:rFonts w:ascii="Arial" w:cs="Arial" w:eastAsia="Arial" w:hAnsi="Arial"/>
          <w:sz w:val="19"/>
          <w:szCs w:val="19"/>
        </w:rPr>
        <w:t xml:space="preserve"> The 10 high-BC Cluster_1 zones (Section 8.6.3), particularly Zone_DH547 and Zone_DH779. These are large organic networks where one intersection mediates the majority of routing. Physical duplication of these intersections (alternative access routes, flyovers, or secondary lane upgrades) directly reduces BC and improves network resilience.</w:t>
      </w:r>
    </w:p>
    <w:p>
      <w:pPr>
        <w:pStyle w:val="ListParagraph"/>
        <w:numPr>
          <w:ilvl w:val="0"/>
          <w:numId w:val="2"/>
        </w:numPr>
        <w:spacing w:before="50" w:after="50" w:line="270"/>
      </w:pPr>
      <w:r>
        <w:rPr>
          <w:rFonts w:ascii="Arial" w:cs="Arial" w:eastAsia="Arial" w:hAnsi="Arial"/>
          <w:b/>
          <w:bCs/>
          <w:sz w:val="19"/>
          <w:szCs w:val="19"/>
        </w:rPr>
        <w:t xml:space="preserve">Tier B — Connectivity completion:</w:t>
      </w:r>
      <w:r>
        <w:rPr>
          <w:rFonts w:ascii="Arial" w:cs="Arial" w:eastAsia="Arial" w:hAnsi="Arial"/>
          <w:sz w:val="19"/>
          <w:szCs w:val="19"/>
        </w:rPr>
        <w:t xml:space="preserve"> The Cluster_0 fragmented peripheral zones with high wcc_fragmentation. These areas need new road links to join isolated sub-graphs to the main network — not intersection improvements at existing nodes, but new connections. The gwcc_pct and wcc_fragmentation features from V3 provide the exact quantification of how much connectivity is missing.</w:t>
      </w:r>
    </w:p>
    <w:p>
      <w:pPr>
        <w:pStyle w:val="ListParagraph"/>
        <w:numPr>
          <w:ilvl w:val="0"/>
          <w:numId w:val="2"/>
        </w:numPr>
        <w:spacing w:before="50" w:after="50" w:line="270"/>
      </w:pPr>
      <w:r>
        <w:rPr>
          <w:rFonts w:ascii="Arial" w:cs="Arial" w:eastAsia="Arial" w:hAnsi="Arial"/>
          <w:b/>
          <w:bCs/>
          <w:sz w:val="19"/>
          <w:szCs w:val="19"/>
        </w:rPr>
        <w:t xml:space="preserve">Tier C — Monitoring and scenario planning:</w:t>
      </w:r>
      <w:r>
        <w:rPr>
          <w:rFonts w:ascii="Arial" w:cs="Arial" w:eastAsia="Arial" w:hAnsi="Arial"/>
          <w:sz w:val="19"/>
          <w:szCs w:val="19"/>
        </w:rPr>
        <w:t xml:space="preserve"> The 178 zones with max BC &gt; 0.50 (22.5% of all zones). These are vulnerable to bottleneck effects but may not require immediate capital investment. Traffic management measures (signal optimisation, turn restrictions, event routing protocols) can reduce effective BC without infrastructure spending.</w:t>
      </w:r>
    </w:p>
    <w:p>
      <w:pPr>
        <w:spacing w:before="80" w:after="0"/>
      </w:pPr>
      <w:r>
        <w:t xml:space="preserve"/>
      </w:r>
    </w:p>
    <w:p>
      <w:pPr>
        <w:pStyle w:val="Heading3"/>
        <w:spacing w:before="200" w:after="80"/>
      </w:pPr>
      <w:r>
        <w:rPr>
          <w:rFonts w:ascii="Arial" w:cs="Arial" w:eastAsia="Arial" w:hAnsi="Arial"/>
          <w:b/>
          <w:bCs/>
          <w:color w:val="333333"/>
          <w:sz w:val="21"/>
          <w:szCs w:val="21"/>
        </w:rPr>
        <w:t xml:space="preserve">9.3.2  The Inversion of the Density Assumption</w:t>
      </w:r>
    </w:p>
    <w:p>
      <w:pPr>
        <w:spacing w:before="60" w:after="100" w:line="288"/>
        <w:jc w:val="both"/>
      </w:pPr>
      <w:r>
        <w:rPr>
          <w:rFonts w:ascii="Arial" w:cs="Arial" w:eastAsia="Arial" w:hAnsi="Arial"/>
          <w:sz w:val="20"/>
          <w:szCs w:val="20"/>
        </w:rPr>
        <w:t xml:space="preserve">A consistent finding across both the V3 clustering and the GAT analysis is that structural vulnerability is geographically concentrated at the urban periphery, not at the historically dense core. The central corridor (90.35–90.40°E, 23.75–23.85°N) — encompassing Dhanmondi, Tejgaon, and Motijheel — has the lowest mean max BC (0.330) and the lowest C0 concentration (9%) of any spatial band in the study area.</w:t>
      </w:r>
    </w:p>
    <w:p>
      <w:pPr>
        <w:spacing w:before="60" w:after="0"/>
      </w:pPr>
      <w:r>
        <w:t xml:space="preserve"/>
      </w:r>
    </w:p>
    <w:p>
      <w:pPr>
        <w:spacing w:before="60" w:after="100" w:line="288"/>
        <w:jc w:val="both"/>
      </w:pPr>
      <w:r>
        <w:rPr>
          <w:rFonts w:ascii="Arial" w:cs="Arial" w:eastAsia="Arial" w:hAnsi="Arial"/>
          <w:sz w:val="20"/>
          <w:szCs w:val="20"/>
        </w:rPr>
        <w:t xml:space="preserve">This inverts the conventional assumption that population density and road network density predict structural vulnerability. Old Dhaka’s apparent chaos — narrow lanes, irregular geometry, high orientation entropy — actually conceals a highly redundant network where alternative routes for any disrupted path are plentiful. The peripheral zones, which appear more orderly on satellite imagery (fewer but wider roads), are structurally more fragile because they are organised as trees: every branch connects back through one root junction.</w:t>
      </w:r>
    </w:p>
    <w:p>
      <w:pPr>
        <w:spacing w:before="60" w:after="0"/>
      </w:pPr>
      <w:r>
        <w:t xml:space="preserve"/>
      </w:r>
    </w:p>
    <w:p>
      <w:pPr>
        <w:pBdr>
          <w:left w:val="single" w:color="375623" w:sz="24" w:space="10"/>
        </w:pBdr>
        <w:spacing w:before="100" w:after="100" w:line="300"/>
        <w:ind w:left="360" w:right="120"/>
        <w:jc w:val="both"/>
      </w:pPr>
      <w:r>
        <w:rPr>
          <w:rFonts w:ascii="Arial" w:cs="Arial" w:eastAsia="Arial" w:hAnsi="Arial"/>
          <w:b/>
          <w:bCs/>
          <w:sz w:val="20"/>
          <w:szCs w:val="20"/>
        </w:rPr>
        <w:t xml:space="preserve">Policy implication:</w:t>
      </w:r>
      <w:r>
        <w:rPr>
          <w:rFonts w:ascii="Arial" w:cs="Arial" w:eastAsia="Arial" w:hAnsi="Arial"/>
          <w:sz w:val="20"/>
          <w:szCs w:val="20"/>
        </w:rPr>
        <w:t xml:space="preserve"> Transport investment in Dhaka has historically been concentrated in the central corridor (flyovers, mass transit, arterial road widening) where political and economic visibility is highest. The TCGA analysis suggests that the highest marginal return on network resilience investment is in the peripheral north-east (90.43–90.47°E) and south-west (90.25–90.30°E) fringe zones — areas with extreme BC concentration in small fragmented sub-graphs and low redundancy. One new access road connection in Zone_DH793 or Zone_DH860 would reduce the BC of the master node from above 0.69 to near zero.</w:t>
      </w:r>
    </w:p>
    <w:p>
      <w:pPr>
        <w:spacing w:before="200" w:after="0"/>
      </w:pPr>
      <w:r>
        <w:t xml:space="preserve"/>
      </w:r>
    </w:p>
    <w:p>
      <w:pPr>
        <w:pStyle w:val="Heading1"/>
        <w:spacing w:before="360" w:after="180"/>
      </w:pPr>
      <w:r>
        <w:rPr>
          <w:rFonts w:ascii="Arial" w:cs="Arial" w:eastAsia="Arial" w:hAnsi="Arial"/>
          <w:b/>
          <w:bCs/>
          <w:color w:val="1F3864"/>
          <w:sz w:val="30"/>
          <w:szCs w:val="30"/>
        </w:rPr>
        <w:t xml:space="preserve">10.  Limitations and Future Work</w:t>
      </w:r>
    </w:p>
    <w:p>
      <w:pPr>
        <w:pStyle w:val="Heading2"/>
        <w:spacing w:before="280" w:after="120"/>
      </w:pPr>
      <w:r>
        <w:rPr>
          <w:rFonts w:ascii="Arial" w:cs="Arial" w:eastAsia="Arial" w:hAnsi="Arial"/>
          <w:b/>
          <w:bCs/>
          <w:color w:val="2E75B6"/>
          <w:sz w:val="24"/>
          <w:szCs w:val="24"/>
        </w:rPr>
        <w:t xml:space="preserve">10.1  Data Limitations</w:t>
      </w:r>
    </w:p>
    <w:p>
      <w:pPr>
        <w:pStyle w:val="ListParagraph"/>
        <w:numPr>
          <w:ilvl w:val="0"/>
          <w:numId w:val="2"/>
        </w:numPr>
        <w:spacing w:before="50" w:after="50" w:line="270"/>
      </w:pPr>
      <w:r>
        <w:rPr>
          <w:rFonts w:ascii="Arial" w:cs="Arial" w:eastAsia="Arial" w:hAnsi="Arial"/>
          <w:b/>
          <w:bCs/>
          <w:sz w:val="19"/>
          <w:szCs w:val="19"/>
        </w:rPr>
        <w:t xml:space="preserve">OSM completeness heterogeneity:</w:t>
      </w:r>
      <w:r>
        <w:rPr>
          <w:rFonts w:ascii="Arial" w:cs="Arial" w:eastAsia="Arial" w:hAnsi="Arial"/>
          <w:sz w:val="19"/>
          <w:szCs w:val="19"/>
        </w:rPr>
        <w:t xml:space="preserve"> OSM coverage in peripheral zones remains lower than in the urban core, despite the all-roads extraction. The minority cluster in V3 co-locates with low OSM completeness scores. We cannot definitively separate genuine topological sparsity from data sparsity in these zones.</w:t>
      </w:r>
    </w:p>
    <w:p>
      <w:pPr>
        <w:pStyle w:val="ListParagraph"/>
        <w:numPr>
          <w:ilvl w:val="0"/>
          <w:numId w:val="2"/>
        </w:numPr>
        <w:spacing w:before="50" w:after="50" w:line="270"/>
      </w:pPr>
      <w:r>
        <w:rPr>
          <w:rFonts w:ascii="Arial" w:cs="Arial" w:eastAsia="Arial" w:hAnsi="Arial"/>
          <w:b/>
          <w:bCs/>
          <w:sz w:val="19"/>
          <w:szCs w:val="19"/>
        </w:rPr>
        <w:t xml:space="preserve">Zone boundary effects:</w:t>
      </w:r>
      <w:r>
        <w:rPr>
          <w:rFonts w:ascii="Arial" w:cs="Arial" w:eastAsia="Arial" w:hAnsi="Arial"/>
          <w:sz w:val="19"/>
          <w:szCs w:val="19"/>
        </w:rPr>
        <w:t xml:space="preserve"> Each 1 km grid cell is analysed as an independent subgraph. Real traffic routing crosses zone boundaries, and the betweenness analysis is therefore an intra-zone approximation. Cross-zone stitching was attempted via proximity edge insertion but failed because the zone CSVs contain only internal connections.</w:t>
      </w:r>
    </w:p>
    <w:p>
      <w:pPr>
        <w:pStyle w:val="ListParagraph"/>
        <w:numPr>
          <w:ilvl w:val="0"/>
          <w:numId w:val="2"/>
        </w:numPr>
        <w:spacing w:before="50" w:after="50" w:line="270"/>
      </w:pPr>
      <w:r>
        <w:rPr>
          <w:rFonts w:ascii="Arial" w:cs="Arial" w:eastAsia="Arial" w:hAnsi="Arial"/>
          <w:b/>
          <w:bCs/>
          <w:sz w:val="19"/>
          <w:szCs w:val="19"/>
        </w:rPr>
        <w:t xml:space="preserve">Static snapshot:</w:t>
      </w:r>
      <w:r>
        <w:rPr>
          <w:rFonts w:ascii="Arial" w:cs="Arial" w:eastAsia="Arial" w:hAnsi="Arial"/>
          <w:sz w:val="19"/>
          <w:szCs w:val="19"/>
        </w:rPr>
        <w:t xml:space="preserve"> The analysis reflects the OSM road network at a single point in time (2025). Dhaka’s road network is rapidly evolving with the Metrorail Phase 1 completion (Uttara–Agargaon), ongoing Elevated Expressway construction, and continuous informal infill. The BC rankings will shift as the network changes.</w:t>
      </w:r>
    </w:p>
    <w:p>
      <w:pPr>
        <w:pStyle w:val="ListParagraph"/>
        <w:numPr>
          <w:ilvl w:val="0"/>
          <w:numId w:val="2"/>
        </w:numPr>
        <w:spacing w:before="50" w:after="50" w:line="270"/>
      </w:pPr>
      <w:r>
        <w:rPr>
          <w:rFonts w:ascii="Arial" w:cs="Arial" w:eastAsia="Arial" w:hAnsi="Arial"/>
          <w:b/>
          <w:bCs/>
          <w:sz w:val="19"/>
          <w:szCs w:val="19"/>
        </w:rPr>
        <w:t xml:space="preserve">Undirected graph simplification:</w:t>
      </w:r>
      <w:r>
        <w:rPr>
          <w:rFonts w:ascii="Arial" w:cs="Arial" w:eastAsia="Arial" w:hAnsi="Arial"/>
          <w:sz w:val="19"/>
          <w:szCs w:val="19"/>
        </w:rPr>
        <w:t xml:space="preserve"> The GAT analysis uses undirected graphs. One-way constraints (which are partially encoded in OSM Dhaka data, particularly in the Gulshan–Banani planned zone) would alter BC values if modelled as a directed graph.</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10.2  Methodological Limitations</w:t>
      </w:r>
    </w:p>
    <w:p>
      <w:pPr>
        <w:pStyle w:val="ListParagraph"/>
        <w:numPr>
          <w:ilvl w:val="0"/>
          <w:numId w:val="2"/>
        </w:numPr>
        <w:spacing w:before="50" w:after="50" w:line="270"/>
      </w:pPr>
      <w:r>
        <w:rPr>
          <w:rFonts w:ascii="Arial" w:cs="Arial" w:eastAsia="Arial" w:hAnsi="Arial"/>
          <w:b/>
          <w:bCs/>
          <w:sz w:val="19"/>
          <w:szCs w:val="19"/>
        </w:rPr>
        <w:t xml:space="preserve">Small-graph inflation:</w:t>
      </w:r>
      <w:r>
        <w:rPr>
          <w:rFonts w:ascii="Arial" w:cs="Arial" w:eastAsia="Arial" w:hAnsi="Arial"/>
          <w:sz w:val="19"/>
          <w:szCs w:val="19"/>
        </w:rPr>
        <w:t xml:space="preserve"> The normalised BC formula inflates values in small graphs, making C0 zones appear more vulnerable than C1 zones at equivalent structural risk. A size-normalised BC (BC × √n) should be computed for any city-wide ranking. This was diagnosed but not fully resolved in the current analysis.</w:t>
      </w:r>
    </w:p>
    <w:p>
      <w:pPr>
        <w:pStyle w:val="ListParagraph"/>
        <w:numPr>
          <w:ilvl w:val="0"/>
          <w:numId w:val="2"/>
        </w:numPr>
        <w:spacing w:before="50" w:after="50" w:line="270"/>
      </w:pPr>
      <w:r>
        <w:rPr>
          <w:rFonts w:ascii="Arial" w:cs="Arial" w:eastAsia="Arial" w:hAnsi="Arial"/>
          <w:b/>
          <w:bCs/>
          <w:sz w:val="19"/>
          <w:szCs w:val="19"/>
        </w:rPr>
        <w:t xml:space="preserve">Zone-level clustering vs. block-level morphology:</w:t>
      </w:r>
      <w:r>
        <w:rPr>
          <w:rFonts w:ascii="Arial" w:cs="Arial" w:eastAsia="Arial" w:hAnsi="Arial"/>
          <w:sz w:val="19"/>
          <w:szCs w:val="19"/>
        </w:rPr>
        <w:t xml:space="preserve"> The V3 clustering operates at the 1 km scale. Morphological archetypes (Grid, Maze, Radial) are coherent at the 200–500 m block scale. The averaging effect at 1 km may irreversibly blur archetype signals that would be visible at finer spatial resolution.</w:t>
      </w:r>
    </w:p>
    <w:p>
      <w:pPr>
        <w:pStyle w:val="ListParagraph"/>
        <w:numPr>
          <w:ilvl w:val="0"/>
          <w:numId w:val="2"/>
        </w:numPr>
        <w:spacing w:before="50" w:after="50" w:line="270"/>
      </w:pPr>
      <w:r>
        <w:rPr>
          <w:rFonts w:ascii="Arial" w:cs="Arial" w:eastAsia="Arial" w:hAnsi="Arial"/>
          <w:b/>
          <w:bCs/>
          <w:sz w:val="19"/>
          <w:szCs w:val="19"/>
        </w:rPr>
        <w:t xml:space="preserve">Absence of temporal or demand data:</w:t>
      </w:r>
      <w:r>
        <w:rPr>
          <w:rFonts w:ascii="Arial" w:cs="Arial" w:eastAsia="Arial" w:hAnsi="Arial"/>
          <w:sz w:val="19"/>
          <w:szCs w:val="19"/>
        </w:rPr>
        <w:t xml:space="preserve"> The analysis is purely topological. It identifies structural bottlenecks but cannot quantify their actual traffic impact without origin-destination demand data, which is unavailable for Dhaka at this spatial resolution.</w:t>
      </w:r>
    </w:p>
    <w:p>
      <w:pPr>
        <w:spacing w:before="80" w:after="0"/>
      </w:pPr>
      <w:r>
        <w:t xml:space="preserve"/>
      </w:r>
    </w:p>
    <w:p>
      <w:pPr>
        <w:pStyle w:val="Heading2"/>
        <w:spacing w:before="280" w:after="120"/>
      </w:pPr>
      <w:r>
        <w:rPr>
          <w:rFonts w:ascii="Arial" w:cs="Arial" w:eastAsia="Arial" w:hAnsi="Arial"/>
          <w:b/>
          <w:bCs/>
          <w:color w:val="2E75B6"/>
          <w:sz w:val="24"/>
          <w:szCs w:val="24"/>
        </w:rPr>
        <w:t xml:space="preserve">10.3  Recommended Future Work</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Size-normalised BC ranking:</w:t>
      </w:r>
      <w:r>
        <w:rPr>
          <w:rFonts w:ascii="Arial" w:cs="Arial" w:eastAsia="Arial" w:hAnsi="Arial"/>
          <w:sz w:val="19"/>
          <w:szCs w:val="19"/>
        </w:rPr>
        <w:t xml:space="preserve"> Compute BC′ = max_bc × √node_count for all 790 zones, repeat the Cluster_0 vs. Cluster_1 Wilcoxon test on BC′, and produce a corrected city-wide priority ranking.</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Zone_DH547 catastrophe simulation:</w:t>
      </w:r>
      <w:r>
        <w:rPr>
          <w:rFonts w:ascii="Arial" w:cs="Arial" w:eastAsia="Arial" w:hAnsi="Arial"/>
          <w:sz w:val="19"/>
          <w:szCs w:val="19"/>
        </w:rPr>
        <w:t xml:space="preserve"> Run the full before/after removal simulation on Zone_DH547 (242 nodes, C1, BC = 0.609): measure the increase in total shortest-path length across all OD pairs when the master node is removed. This quantifies the dollar-cost of the bottleneck.</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RAJUK-supervised validation:</w:t>
      </w:r>
      <w:r>
        <w:rPr>
          <w:rFonts w:ascii="Arial" w:cs="Arial" w:eastAsia="Arial" w:hAnsi="Arial"/>
          <w:sz w:val="19"/>
          <w:szCs w:val="19"/>
        </w:rPr>
        <w:t xml:space="preserve"> Use the 27 V3 topological features as predictors and RAJUK official land-use designations as the target class in a Random Forest classifier. The null hypothesis H₀: topological features do not predict RAJUK land-use class is testable with approximately 60% coverage of the study area.</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Metrorail impact simulation:</w:t>
      </w:r>
      <w:r>
        <w:rPr>
          <w:rFonts w:ascii="Arial" w:cs="Arial" w:eastAsia="Arial" w:hAnsi="Arial"/>
          <w:sz w:val="19"/>
          <w:szCs w:val="19"/>
        </w:rPr>
        <w:t xml:space="preserve"> Re-run the GAT pipeline after adding the Dhaka Metro Line 6 (Uttara–Motijheel) as a set of new edges. Quantify the BC reduction at master nodes in the central corridor.</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Comparative South Asian study:</w:t>
      </w:r>
      <w:r>
        <w:rPr>
          <w:rFonts w:ascii="Arial" w:cs="Arial" w:eastAsia="Arial" w:hAnsi="Arial"/>
          <w:sz w:val="19"/>
          <w:szCs w:val="19"/>
        </w:rPr>
        <w:t xml:space="preserve"> Re-run the identical V3 + GAT pipeline for Kolkata, Karachi, and Dhaka to test whether the connectivity-axis clustering is a South Asian megacity structural property or Dhaka-specific.</w:t>
      </w:r>
    </w:p>
    <w:p>
      <w:pPr>
        <w:pStyle w:val="ListParagraph"/>
        <w:numPr>
          <w:ilvl w:val="0"/>
          <w:numId w:val="3"/>
        </w:numPr>
        <w:spacing w:before="60" w:after="60" w:line="270"/>
      </w:pPr>
      <w:r>
        <w:rPr>
          <w:rFonts w:ascii="Arial" w:cs="Arial" w:eastAsia="Arial" w:hAnsi="Arial"/>
          <w:sz w:val="19"/>
          <w:szCs w:val="19"/>
        </w:rPr>
        <w:t xml:space="preserve"/>
      </w:r>
      <w:r>
        <w:rPr>
          <w:rFonts w:ascii="Arial" w:cs="Arial" w:eastAsia="Arial" w:hAnsi="Arial"/>
          <w:b/>
          <w:bCs/>
          <w:sz w:val="19"/>
          <w:szCs w:val="19"/>
        </w:rPr>
        <w:t xml:space="preserve">Population-weighted BC ranking:</w:t>
      </w:r>
      <w:r>
        <w:rPr>
          <w:rFonts w:ascii="Arial" w:cs="Arial" w:eastAsia="Arial" w:hAnsi="Arial"/>
          <w:sz w:val="19"/>
          <w:szCs w:val="19"/>
        </w:rPr>
        <w:t xml:space="preserve"> Join zone_id to WorldPop 100 m population raster. Compute max_bc × population_density as a compound vulnerability index. The top-10 zones on this index are the zones where bottleneck disruption causes the most population-level impact.</w:t>
      </w:r>
    </w:p>
    <w:p>
      <w:pPr>
        <w:spacing w:before="200" w:after="0"/>
      </w:pPr>
      <w:r>
        <w:t xml:space="preserve"/>
      </w:r>
    </w:p>
    <w:p>
      <w:pPr>
        <w:pStyle w:val="Heading1"/>
        <w:spacing w:before="360" w:after="180"/>
      </w:pPr>
      <w:r>
        <w:rPr>
          <w:rFonts w:ascii="Arial" w:cs="Arial" w:eastAsia="Arial" w:hAnsi="Arial"/>
          <w:b/>
          <w:bCs/>
          <w:color w:val="1F3864"/>
          <w:sz w:val="30"/>
          <w:szCs w:val="30"/>
        </w:rPr>
        <w:t xml:space="preserve">11.  Dataset Documentation: DRNTF-2025 + GAT Extension</w:t>
      </w:r>
    </w:p>
    <w:p>
      <w:pPr>
        <w:pStyle w:val="Heading2"/>
        <w:spacing w:before="280" w:after="120"/>
      </w:pPr>
      <w:r>
        <w:rPr>
          <w:rFonts w:ascii="Arial" w:cs="Arial" w:eastAsia="Arial" w:hAnsi="Arial"/>
          <w:b/>
          <w:bCs/>
          <w:color w:val="2E75B6"/>
          <w:sz w:val="24"/>
          <w:szCs w:val="24"/>
        </w:rPr>
        <w:t xml:space="preserve">11.1  DRNTF-2025: Dhaka Road Network Topology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Field</w:t>
            </w:r>
          </w:p>
        </w:tc>
        <w:tc>
          <w:tcPr>
            <w:tcW w:type="dxa" w:w="65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Details</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Dataset Title</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Dhaka Road Network Topology Features, 2025 (DRNTF-2025)</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Creators</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Mehzad Galib, Md. Sabbir Hossain — CSE Department, BUET</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Repository</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Zenodo — https://zenodo.org/record/[XXXXXXX]</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DOI</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10.5281/zenodo.[XXXXXXX] (assigned on upload)</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Licence</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Creative Commons Attribution 4.0 International (CC BY 4.0)</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Code repository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GitHub — https://github.com/[username]/dhaka-road-topology (MIT Licence)</w:t>
            </w:r>
          </w:p>
        </w:tc>
      </w:tr>
      <w:tr>
        <w:tc>
          <w:tcPr>
            <w:tcW w:type="dxa" w:w="28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OSM data credit</w:t>
            </w:r>
          </w:p>
        </w:tc>
        <w:tc>
          <w:tcPr>
            <w:tcW w:type="dxa" w:w="65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 OpenStreetMap contributors, available under the Open Database Licence (ODbL)</w:t>
            </w:r>
          </w:p>
        </w:tc>
      </w:tr>
      <w:tr>
        <w:tc>
          <w:tcPr>
            <w:tcW w:type="dxa" w:w="28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Version history</w:t>
            </w:r>
          </w:p>
        </w:tc>
        <w:tc>
          <w:tcPr>
            <w:tcW w:type="dxa" w:w="65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v1.0 — February 2025 (V3 and V4 grids). v2.0 — March 2026 (GAT extension added)</w:t>
            </w:r>
          </w:p>
        </w:tc>
      </w:tr>
    </w:tbl>
    <w:p>
      <w:pPr>
        <w:spacing w:before="80" w:after="0"/>
      </w:pPr>
      <w:r>
        <w:t xml:space="preserve"/>
      </w:r>
    </w:p>
    <w:p>
      <w:pPr>
        <w:pStyle w:val="Heading2"/>
        <w:spacing w:before="280" w:after="120"/>
      </w:pPr>
      <w:r>
        <w:rPr>
          <w:rFonts w:ascii="Arial" w:cs="Arial" w:eastAsia="Arial" w:hAnsi="Arial"/>
          <w:b/>
          <w:bCs/>
          <w:color w:val="2E75B6"/>
          <w:sz w:val="24"/>
          <w:szCs w:val="24"/>
        </w:rPr>
        <w:t xml:space="preserve">11.2  GAT Extension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File</w:t>
            </w:r>
          </w:p>
        </w:tc>
        <w:tc>
          <w:tcPr>
            <w:tcW w:type="dxa" w:w="10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Format</w:t>
            </w:r>
          </w:p>
        </w:tc>
        <w:tc>
          <w:tcPr>
            <w:tcW w:type="dxa" w:w="140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Records</w:t>
            </w:r>
          </w:p>
        </w:tc>
        <w:tc>
          <w:tcPr>
            <w:tcW w:type="dxa" w:w="4960"/>
            <w:tcBorders>
              <w:top w:val="single" w:color="AAAAAA" w:sz="4"/>
              <w:left w:val="single" w:color="AAAAAA" w:sz="4"/>
              <w:bottom w:val="single" w:color="AAAAAA" w:sz="4"/>
              <w:right w:val="single" w:color="AAAAAA" w:sz="4"/>
            </w:tcBorders>
            <w:shd w:fill="1F3864" w:val="clear"/>
            <w:tcMar>
              <w:top w:type="dxa" w:w="80"/>
              <w:left w:type="dxa" w:w="140"/>
              <w:bottom w:type="dxa" w:w="80"/>
              <w:right w:type="dxa" w:w="14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all_zones_summary.csv</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CSV</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822 zones</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One row per zone. Columns: zone_id, centre_lat/lon, n_nodes, n_edges, avg_degree, max_bc, mean_bc, p95_bc, p99_bc, tier1_count, tier2_count, art_point_count, master_node_id, master_lon/lat, master_degree, compute_time_s</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all_nodes_bc.csv</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CSV</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338,429 nodes</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One row per OSM intersection. Columns: zone_id, node_id, lon, lat, bc, tier (1–4), degree, is_master, is_art_pt</w:t>
            </w:r>
          </w:p>
        </w:tc>
      </w:tr>
      <w:tr>
        <w:tc>
          <w:tcPr>
            <w:tcW w:type="dxa" w:w="2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Zone_DH*/nodes_bc.csv</w:t>
            </w:r>
          </w:p>
        </w:tc>
        <w:tc>
          <w:tcPr>
            <w:tcW w:type="dxa" w:w="10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CSV</w:t>
            </w:r>
          </w:p>
        </w:tc>
        <w:tc>
          <w:tcPr>
            <w:tcW w:type="dxa" w:w="140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15–2,187 nodes</w:t>
            </w:r>
          </w:p>
        </w:tc>
        <w:tc>
          <w:tcPr>
            <w:tcW w:type="dxa" w:w="4960"/>
            <w:tcBorders>
              <w:top w:val="single" w:color="CCCCCC" w:sz="4"/>
              <w:left w:val="single" w:color="CCCCCC" w:sz="4"/>
              <w:bottom w:val="single" w:color="CCCCCC" w:sz="4"/>
              <w:right w:val="single" w:color="CCCCCC" w:sz="4"/>
            </w:tcBorders>
            <w:shd w:fill="F5F7FA" w:val="clear"/>
            <w:tcMar>
              <w:top w:type="dxa" w:w="80"/>
              <w:left w:type="dxa" w:w="140"/>
              <w:bottom w:type="dxa" w:w="80"/>
              <w:right w:type="dxa" w:w="140"/>
            </w:tcMar>
          </w:tcPr>
          <w:p>
            <w:r>
              <w:rPr>
                <w:rFonts w:ascii="Arial" w:cs="Arial" w:eastAsia="Arial" w:hAnsi="Arial"/>
                <w:sz w:val="19"/>
                <w:szCs w:val="19"/>
              </w:rPr>
              <w:t xml:space="preserve">Per-zone version of all_nodes_bc.csv. File count: 822</w:t>
            </w:r>
          </w:p>
        </w:tc>
      </w:tr>
      <w:tr>
        <w:tc>
          <w:tcPr>
            <w:tcW w:type="dxa" w:w="2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gat_pipeline.ipynb</w:t>
            </w:r>
          </w:p>
        </w:tc>
        <w:tc>
          <w:tcPr>
            <w:tcW w:type="dxa" w:w="10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Jupyter</w:t>
            </w:r>
          </w:p>
        </w:tc>
        <w:tc>
          <w:tcPr>
            <w:tcW w:type="dxa" w:w="140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10 cells</w:t>
            </w:r>
          </w:p>
        </w:tc>
        <w:tc>
          <w:tcPr>
            <w:tcW w:type="dxa" w:w="4960"/>
            <w:tcBorders>
              <w:top w:val="single" w:color="CCCCCC" w:sz="4"/>
              <w:left w:val="single" w:color="CCCCCC" w:sz="4"/>
              <w:bottom w:val="single" w:color="CCCCCC" w:sz="4"/>
              <w:right w:val="single" w:color="CCCCCC" w:sz="4"/>
            </w:tcBorders>
            <w:tcMar>
              <w:top w:type="dxa" w:w="80"/>
              <w:left w:type="dxa" w:w="140"/>
              <w:bottom w:type="dxa" w:w="80"/>
              <w:right w:type="dxa" w:w="140"/>
            </w:tcMar>
          </w:tcPr>
          <w:p>
            <w:r>
              <w:rPr>
                <w:rFonts w:ascii="Arial" w:cs="Arial" w:eastAsia="Arial" w:hAnsi="Arial"/>
                <w:sz w:val="19"/>
                <w:szCs w:val="19"/>
              </w:rPr>
              <w:t xml:space="preserve">Full reproducible pipeline. Inputs: V3 nodes.csv and links.csv per zone. Outputs: all files above.</w:t>
            </w:r>
          </w:p>
        </w:tc>
      </w:tr>
    </w:tbl>
    <w:p>
      <w:pPr>
        <w:spacing w:before="200" w:after="0"/>
      </w:pPr>
      <w:r>
        <w:t xml:space="preserve"/>
      </w:r>
    </w:p>
    <w:p>
      <w:pPr>
        <w:pStyle w:val="Heading1"/>
        <w:spacing w:before="360" w:after="180"/>
      </w:pPr>
      <w:r>
        <w:rPr>
          <w:rFonts w:ascii="Arial" w:cs="Arial" w:eastAsia="Arial" w:hAnsi="Arial"/>
          <w:b/>
          <w:bCs/>
          <w:color w:val="1F3864"/>
          <w:sz w:val="30"/>
          <w:szCs w:val="30"/>
        </w:rPr>
        <w:t xml:space="preserve">12.  Conclusion</w:t>
      </w:r>
    </w:p>
    <w:p>
      <w:pPr>
        <w:spacing w:before="60" w:after="100" w:line="288"/>
        <w:jc w:val="both"/>
      </w:pPr>
      <w:r>
        <w:rPr>
          <w:rFonts w:ascii="Arial" w:cs="Arial" w:eastAsia="Arial" w:hAnsi="Arial"/>
          <w:sz w:val="20"/>
          <w:szCs w:val="20"/>
        </w:rPr>
        <w:t xml:space="preserve">This report presents the complete findings of a two-stage research programme on road network topology analysis in Dhaka, Bangladesh.</w:t>
      </w:r>
    </w:p>
    <w:p>
      <w:pPr>
        <w:spacing w:before="60" w:after="0"/>
      </w:pPr>
      <w:r>
        <w:t xml:space="preserve"/>
      </w:r>
    </w:p>
    <w:p>
      <w:pPr>
        <w:spacing w:before="60" w:after="100" w:line="288"/>
        <w:jc w:val="both"/>
      </w:pPr>
      <w:r>
        <w:rPr>
          <w:rFonts w:ascii="Arial" w:cs="Arial" w:eastAsia="Arial" w:hAnsi="Arial"/>
          <w:sz w:val="20"/>
          <w:szCs w:val="20"/>
        </w:rPr>
        <w:t xml:space="preserve">The V1–V4 methodology audit (Sections 2–6) executed a systematic correction of four independent methodological failures in the original pipeline and found that Dhaka’s road network at 1 km and 2 km grid scales consistently organises into two clusters rather than the four archetypes proposed. The k = 2 result was robust across all algorithms (K-Means, GMM), spatial scales (1 km, 2 km), OSM extraction strategies (drive, all-roads), and labelling systems (archetype-imposed, data-driven), with silhouette scores improving from 0.366 (V1) to 0.551 (V4). The DBSCAN failure — a single cluster at every parameter setting across all four versions — reveals that the underlying feature space is a continuous distribution, not a discrete typology. The two clusters that emerge represent a connectivity spectrum: a dense, well-connected organic core (78–81% of zones) and a fragmented, low-connectivity peripheral fringe.</w:t>
      </w:r>
    </w:p>
    <w:p>
      <w:pPr>
        <w:spacing w:before="60" w:after="0"/>
      </w:pPr>
      <w:r>
        <w:t xml:space="preserve"/>
      </w:r>
    </w:p>
    <w:p>
      <w:pPr>
        <w:spacing w:before="60" w:after="100" w:line="288"/>
        <w:jc w:val="both"/>
      </w:pPr>
      <w:r>
        <w:rPr>
          <w:rFonts w:ascii="Arial" w:cs="Arial" w:eastAsia="Arial" w:hAnsi="Arial"/>
          <w:sz w:val="20"/>
          <w:szCs w:val="20"/>
        </w:rPr>
        <w:t xml:space="preserve">The GAT extension (Sections 7–9) operationalises these findings at the intersection level. Applied to 790 valid zones and 338,429 real OSM intersections, the analysis establishes that: (i) city-wide, a single intersection controls a mean of 38.0% of all optimal routing within its zone; (ii) the two V3 topology clusters differ significantly in betweenness concentration (Cluster_0 mean: 0.507; Cluster_1 mean: 0.351; p = 3.97 × 10⁻³⁶), with the difference explained by the small-graph inflation effect in fragmented sub-networks; (iii) orientation entropy — the feature most associated with morphological type — is statistically independent of betweenness concentration (r = 0.02; p = 0.58), confirming that street geometry and routing vulnerability are orthogonal network properties; and (iv) structural fragility is spatially concentrated at the urban periphery, not the historically dense core, inverting the conventional planning assumption.</w:t>
      </w:r>
    </w:p>
    <w:p>
      <w:pPr>
        <w:spacing w:before="60" w:after="0"/>
      </w:pPr>
      <w:r>
        <w:t xml:space="preserve"/>
      </w:r>
    </w:p>
    <w:p>
      <w:pPr>
        <w:spacing w:before="60" w:after="100" w:line="288"/>
        <w:jc w:val="both"/>
      </w:pPr>
      <w:r>
        <w:rPr>
          <w:rFonts w:ascii="Arial" w:cs="Arial" w:eastAsia="Arial" w:hAnsi="Arial"/>
          <w:sz w:val="20"/>
          <w:szCs w:val="20"/>
        </w:rPr>
        <w:t xml:space="preserve">The conjunction of V3 and GAT — the Topology-Conditioned Graph Attention (TCGA) framework — provides a policy instrument that neither stage delivers alone: a city-wide, intersection-level vulnerability ranking that is conditioned on morphological context, quantifies the exact routing penalty of each bottleneck, and is fully locatable by GPS coordinates and OSM node IDs. The primary case study zone (Zone_DH547: C1, 242 nodes, BC = 0.609, GPS 23.84168°N, 90.38729°E) illustrates the framework’s output: a specific, actionable, verifiable infrastructure target in a real Dhaka neighbourhood where one intersection mediates 61% of all routing in a 242-intersection network.</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F3864" w:sz="4"/>
              <w:left w:val="single" w:color="1F3864" w:sz="4"/>
              <w:bottom w:val="single" w:color="1F3864" w:sz="4"/>
              <w:right w:val="single" w:color="1F3864" w:sz="4"/>
            </w:tcBorders>
            <w:shd w:fill="F5F7FA" w:val="clear"/>
            <w:tcMar>
              <w:top w:type="dxa" w:w="120"/>
              <w:left w:type="dxa" w:w="240"/>
              <w:bottom w:type="dxa" w:w="120"/>
              <w:right w:type="dxa" w:w="240"/>
            </w:tcMar>
          </w:tcPr>
          <w:p>
            <w:pPr>
              <w:spacing w:before="0" w:after="0" w:line="300"/>
              <w:jc w:val="both"/>
            </w:pPr>
            <w:r>
              <w:rPr>
                <w:rFonts w:ascii="Arial" w:cs="Arial" w:eastAsia="Arial" w:hAnsi="Arial"/>
                <w:b/>
                <w:bCs/>
                <w:sz w:val="20"/>
                <w:szCs w:val="20"/>
              </w:rPr>
              <w:t xml:space="preserve">Core policy finding:</w:t>
            </w:r>
            <w:r>
              <w:rPr>
                <w:rFonts w:ascii="Arial" w:cs="Arial" w:eastAsia="Arial" w:hAnsi="Arial"/>
                <w:sz w:val="20"/>
                <w:szCs w:val="20"/>
              </w:rPr>
              <w:t xml:space="preserve"> Maximum betweenness concentration and structural fragility in Dhaka are geographically concentrated at the urban periphery rather than the historic core, and are statistically independent of street morphology. Both findings are invisible to density-based or geometry-based planning metrics and directly captured by the TCGA topology-conditioned attention framework.</w:t>
            </w:r>
          </w:p>
        </w:tc>
      </w:tr>
    </w:tbl>
    <w:p>
      <w:pPr>
        <w:spacing w:before="200" w:after="0"/>
      </w:pPr>
      <w:r>
        <w:t xml:space="preserve"/>
      </w:r>
    </w:p>
    <w:p>
      <w:r>
        <w:br w:type="page"/>
      </w:r>
    </w:p>
    <w:p>
      <w:pPr>
        <w:pStyle w:val="Heading1"/>
        <w:spacing w:before="360" w:after="180"/>
      </w:pPr>
      <w:r>
        <w:rPr>
          <w:rFonts w:ascii="Arial" w:cs="Arial" w:eastAsia="Arial" w:hAnsi="Arial"/>
          <w:b/>
          <w:bCs/>
          <w:color w:val="1F3864"/>
          <w:sz w:val="30"/>
          <w:szCs w:val="30"/>
        </w:rPr>
        <w:t xml:space="preserve">References</w:t>
      </w:r>
    </w:p>
    <w:p>
      <w:pPr>
        <w:spacing w:before="40" w:after="0"/>
      </w:pPr>
      <w:r>
        <w:t xml:space="preserve"/>
      </w:r>
    </w:p>
    <w:p>
      <w:pPr>
        <w:spacing w:before="60" w:after="60" w:line="260"/>
        <w:ind w:left="360" w:hanging="360"/>
      </w:pPr>
      <w:r>
        <w:rPr>
          <w:rFonts w:ascii="Arial" w:cs="Arial" w:eastAsia="Arial" w:hAnsi="Arial"/>
          <w:sz w:val="18"/>
          <w:szCs w:val="18"/>
        </w:rPr>
        <w:t xml:space="preserve">Ankerst, M., Breunig, M. M., Kriegel, H.-P., &amp; Sander, J. (1999). OPTICS: Ordering points to identify the clustering structure. ACM SIGMOD Record, 28(2), 49–60.</w:t>
      </w:r>
    </w:p>
    <w:p>
      <w:pPr>
        <w:spacing w:before="60" w:after="60" w:line="260"/>
        <w:ind w:left="360" w:hanging="360"/>
      </w:pPr>
      <w:r>
        <w:rPr>
          <w:rFonts w:ascii="Arial" w:cs="Arial" w:eastAsia="Arial" w:hAnsi="Arial"/>
          <w:sz w:val="18"/>
          <w:szCs w:val="18"/>
        </w:rPr>
        <w:t xml:space="preserve">Barthélemy, M. (2011). Spatial networks. Physics Reports, 499(1–3), 1–101.</w:t>
      </w:r>
    </w:p>
    <w:p>
      <w:pPr>
        <w:spacing w:before="60" w:after="60" w:line="260"/>
        <w:ind w:left="360" w:hanging="360"/>
      </w:pPr>
      <w:r>
        <w:rPr>
          <w:rFonts w:ascii="Arial" w:cs="Arial" w:eastAsia="Arial" w:hAnsi="Arial"/>
          <w:sz w:val="18"/>
          <w:szCs w:val="18"/>
        </w:rPr>
        <w:t xml:space="preserve">Barrington-Leigh, C., &amp; Millard-Ball, A. (2017). The world’s user-generated road map is more than 80% complete. PLOS ONE, 12(8), e0180698.</w:t>
      </w:r>
    </w:p>
    <w:p>
      <w:pPr>
        <w:spacing w:before="60" w:after="60" w:line="260"/>
        <w:ind w:left="360" w:hanging="360"/>
      </w:pPr>
      <w:r>
        <w:rPr>
          <w:rFonts w:ascii="Arial" w:cs="Arial" w:eastAsia="Arial" w:hAnsi="Arial"/>
          <w:sz w:val="18"/>
          <w:szCs w:val="18"/>
        </w:rPr>
        <w:t xml:space="preserve">Biernacki, C., Celeux, G., &amp; Govaert, G. (2000). Assessing a mixture model for clustering with the integrated completed likelihood. IEEE Transactions on Pattern Analysis and Machine Intelligence, 22(7), 719–725.</w:t>
      </w:r>
    </w:p>
    <w:p>
      <w:pPr>
        <w:spacing w:before="60" w:after="60" w:line="260"/>
        <w:ind w:left="360" w:hanging="360"/>
      </w:pPr>
      <w:r>
        <w:rPr>
          <w:rFonts w:ascii="Arial" w:cs="Arial" w:eastAsia="Arial" w:hAnsi="Arial"/>
          <w:sz w:val="18"/>
          <w:szCs w:val="18"/>
        </w:rPr>
        <w:t xml:space="preserve">Boeing, G. (2019). Urban spatial order: Street network orientation, configuration, and entropy. Applied Network Science, 4(1), 67.</w:t>
      </w:r>
    </w:p>
    <w:p>
      <w:pPr>
        <w:spacing w:before="60" w:after="60" w:line="260"/>
        <w:ind w:left="360" w:hanging="360"/>
      </w:pPr>
      <w:r>
        <w:rPr>
          <w:rFonts w:ascii="Arial" w:cs="Arial" w:eastAsia="Arial" w:hAnsi="Arial"/>
          <w:sz w:val="18"/>
          <w:szCs w:val="18"/>
        </w:rPr>
        <w:t xml:space="preserve">Brandes, U. (2001). A faster algorithm for betweenness centrality. Journal of Mathematical Sociology, 25(2), 163–177.</w:t>
      </w:r>
    </w:p>
    <w:p>
      <w:pPr>
        <w:spacing w:before="60" w:after="60" w:line="260"/>
        <w:ind w:left="360" w:hanging="360"/>
      </w:pPr>
      <w:r>
        <w:rPr>
          <w:rFonts w:ascii="Arial" w:cs="Arial" w:eastAsia="Arial" w:hAnsi="Arial"/>
          <w:sz w:val="18"/>
          <w:szCs w:val="18"/>
        </w:rPr>
        <w:t xml:space="preserve">Fleischmann, M., Romice, O., &amp; Porta, S. (2021). Measuring urban form: Overcoming terminological inconsistencies for a quantitative and comprehensive morphological analysis of cities. Environment and Planning B: Urban Analytics and City Science, 48(8), 2133–2150.</w:t>
      </w:r>
    </w:p>
    <w:p>
      <w:pPr>
        <w:spacing w:before="60" w:after="60" w:line="260"/>
        <w:ind w:left="360" w:hanging="360"/>
      </w:pPr>
      <w:r>
        <w:rPr>
          <w:rFonts w:ascii="Arial" w:cs="Arial" w:eastAsia="Arial" w:hAnsi="Arial"/>
          <w:sz w:val="18"/>
          <w:szCs w:val="18"/>
        </w:rPr>
        <w:t xml:space="preserve">Freeman, L. C. (1977). A set of measures of centrality based on betweenness. Sociometry, 40(1), 35–41.</w:t>
      </w:r>
    </w:p>
    <w:p>
      <w:pPr>
        <w:spacing w:before="60" w:after="60" w:line="260"/>
        <w:ind w:left="360" w:hanging="360"/>
      </w:pPr>
      <w:r>
        <w:rPr>
          <w:rFonts w:ascii="Arial" w:cs="Arial" w:eastAsia="Arial" w:hAnsi="Arial"/>
          <w:sz w:val="18"/>
          <w:szCs w:val="18"/>
        </w:rPr>
        <w:t xml:space="preserve">Islam, N. (2005). Dhaka now: Contemporary urban development. Bangladesh Geographical Society, Dhaka.</w:t>
      </w:r>
    </w:p>
    <w:p>
      <w:pPr>
        <w:spacing w:before="60" w:after="60" w:line="260"/>
        <w:ind w:left="360" w:hanging="360"/>
      </w:pPr>
      <w:r>
        <w:rPr>
          <w:rFonts w:ascii="Arial" w:cs="Arial" w:eastAsia="Arial" w:hAnsi="Arial"/>
          <w:sz w:val="18"/>
          <w:szCs w:val="18"/>
        </w:rPr>
        <w:t xml:space="preserve">Jiang, B., &amp; Claramunt, C. (2004). Topological analysis of urban street networks. Environment and Planning B: Planning and Design, 31(1), 151–162.</w:t>
      </w:r>
    </w:p>
    <w:p>
      <w:pPr>
        <w:spacing w:before="60" w:after="60" w:line="260"/>
        <w:ind w:left="360" w:hanging="360"/>
      </w:pPr>
      <w:r>
        <w:rPr>
          <w:rFonts w:ascii="Arial" w:cs="Arial" w:eastAsia="Arial" w:hAnsi="Arial"/>
          <w:sz w:val="18"/>
          <w:szCs w:val="18"/>
        </w:rPr>
        <w:t xml:space="preserve">Kohonen, T. (2001). Self-organizing maps (3rd ed.). Springer, Berlin.</w:t>
      </w:r>
    </w:p>
    <w:p>
      <w:pPr>
        <w:spacing w:before="60" w:after="60" w:line="260"/>
        <w:ind w:left="360" w:hanging="360"/>
      </w:pPr>
      <w:r>
        <w:rPr>
          <w:rFonts w:ascii="Arial" w:cs="Arial" w:eastAsia="Arial" w:hAnsi="Arial"/>
          <w:sz w:val="18"/>
          <w:szCs w:val="18"/>
        </w:rPr>
        <w:t xml:space="preserve">Latora, V., &amp; Marchiori, M. (2001). Efficient behavior of small-world networks. Physical Review Letters, 87(19), 198701.</w:t>
      </w:r>
    </w:p>
    <w:p>
      <w:pPr>
        <w:spacing w:before="60" w:after="60" w:line="260"/>
        <w:ind w:left="360" w:hanging="360"/>
      </w:pPr>
      <w:r>
        <w:rPr>
          <w:rFonts w:ascii="Arial" w:cs="Arial" w:eastAsia="Arial" w:hAnsi="Arial"/>
          <w:sz w:val="18"/>
          <w:szCs w:val="18"/>
        </w:rPr>
        <w:t xml:space="preserve">Mahmud, A. (2012). Unplanned urbanization and environmental degradation: The case of Dhaka city. International Journal of Environmental Protection, 2(4), 31–38.</w:t>
      </w:r>
    </w:p>
    <w:p>
      <w:pPr>
        <w:spacing w:before="60" w:after="60" w:line="260"/>
        <w:ind w:left="360" w:hanging="360"/>
      </w:pPr>
      <w:r>
        <w:rPr>
          <w:rFonts w:ascii="Arial" w:cs="Arial" w:eastAsia="Arial" w:hAnsi="Arial"/>
          <w:sz w:val="18"/>
          <w:szCs w:val="18"/>
        </w:rPr>
        <w:t xml:space="preserve">Newman, M. E. J. (2010). Networks: An introduction. Oxford University Press.</w:t>
      </w:r>
    </w:p>
    <w:p>
      <w:pPr>
        <w:spacing w:before="60" w:after="60" w:line="260"/>
        <w:ind w:left="360" w:hanging="360"/>
      </w:pPr>
      <w:r>
        <w:rPr>
          <w:rFonts w:ascii="Arial" w:cs="Arial" w:eastAsia="Arial" w:hAnsi="Arial"/>
          <w:sz w:val="18"/>
          <w:szCs w:val="18"/>
        </w:rPr>
        <w:t xml:space="preserve">Porta, S., Crucitti, P., &amp; Latora, V. (2006). The network analysis of urban streets: A primal approach. Environment and Planning B: Planning and Design, 33(5), 705–725.</w:t>
      </w:r>
    </w:p>
    <w:p>
      <w:pPr>
        <w:spacing w:before="60" w:after="60" w:line="260"/>
        <w:ind w:left="360" w:hanging="360"/>
      </w:pPr>
      <w:r>
        <w:rPr>
          <w:rFonts w:ascii="Arial" w:cs="Arial" w:eastAsia="Arial" w:hAnsi="Arial"/>
          <w:sz w:val="18"/>
          <w:szCs w:val="18"/>
        </w:rPr>
        <w:t xml:space="preserve">Revi, A., Prakash, S., Mehrotra, R., Bhat, G. K., Gupta, R., &amp; Gore, R. (2011). A rapid assessment of the impact of climate change on cities. Environment and Urbanization, 23(2), 369–388.</w:t>
      </w:r>
    </w:p>
    <w:p>
      <w:pPr>
        <w:spacing w:before="60" w:after="60" w:line="260"/>
        <w:ind w:left="360" w:hanging="360"/>
      </w:pPr>
      <w:r>
        <w:rPr>
          <w:rFonts w:ascii="Arial" w:cs="Arial" w:eastAsia="Arial" w:hAnsi="Arial"/>
          <w:sz w:val="18"/>
          <w:szCs w:val="18"/>
        </w:rPr>
        <w:t xml:space="preserve">Taubenböck, H., Weigand, M., Esch, T., Staab, J., Wurm, M., Mast, J., &amp; Dech, S. (2017). A new ranking of the world’s largest cities. Remote Sensing of Environment, 198, 502–513.</w:t>
      </w:r>
    </w:p>
    <w:p>
      <w:pPr>
        <w:spacing w:before="60" w:after="60" w:line="260"/>
        <w:ind w:left="360" w:hanging="360"/>
      </w:pPr>
      <w:r>
        <w:rPr>
          <w:rFonts w:ascii="Arial" w:cs="Arial" w:eastAsia="Arial" w:hAnsi="Arial"/>
          <w:sz w:val="18"/>
          <w:szCs w:val="18"/>
        </w:rPr>
        <w:t xml:space="preserve">Von Luxburg, U. (2007). A tutorial on spectral clustering. Statistics and Computing, 17(4), 395–416.</w:t>
      </w:r>
    </w:p>
    <w:p>
      <w:pPr>
        <w:spacing w:before="60" w:after="60" w:line="260"/>
        <w:ind w:left="360" w:hanging="360"/>
      </w:pPr>
      <w:r>
        <w:rPr>
          <w:rFonts w:ascii="Arial" w:cs="Arial" w:eastAsia="Arial" w:hAnsi="Arial"/>
          <w:sz w:val="18"/>
          <w:szCs w:val="18"/>
        </w:rPr>
        <w:t xml:space="preserve">Wang, J., Mo, H., Wang, F., &amp; Jin, F. (2011). Exploring the network structure and nodal centrality of China’s air transport network: A complex network approach. Journal of Transport Geography, 19(4), 712–721.</w:t>
      </w:r>
    </w:p>
    <w:sectPr>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4"/>
      <w:szCs w:val="24"/>
    </w:rPr>
  </w:style>
  <w:style w:type="paragraph" w:styleId="Heading3">
    <w:name w:val="Heading 3"/>
    <w:basedOn w:val="Normal"/>
    <w:next w:val="Normal"/>
    <w:qFormat/>
    <w:pPr>
      <w:spacing w:before="200" w:after="80"/>
      <w:outlineLvl w:val="2"/>
    </w:pPr>
    <w:rPr>
      <w:rFonts w:ascii="Arial" w:cs="Arial" w:eastAsia="Arial" w:hAnsi="Arial"/>
      <w:b/>
      <w:bCs/>
      <w:color w:val="333333"/>
      <w:sz w:val="21"/>
      <w:szCs w:val="21"/>
    </w:rPr>
  </w:style>
  <w:style w:type="paragraph" w:styleId="Heading4">
    <w:name w:val="Heading 4"/>
    <w:basedOn w:val="Normal"/>
    <w:next w:val="Normal"/>
    <w:qFormat/>
    <w:pPr>
      <w:spacing w:before="160" w:after="60"/>
      <w:outlineLvl w:val="3"/>
    </w:pPr>
    <w:rPr>
      <w:rFonts w:ascii="Arial" w:cs="Arial" w:eastAsia="Arial" w:hAnsi="Arial"/>
      <w:b/>
      <w:bCs/>
      <w:i/>
      <w:i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2026-03-12T19:17:03.293Z</dcterms:created>
  <dcterms:modified xsi:type="dcterms:W3CDTF">2026-03-12T19:17:03.293Z</dcterms:modified>
</cp:coreProperties>
</file>

<file path=docProps/custom.xml><?xml version="1.0" encoding="utf-8"?>
<Properties xmlns="http://schemas.openxmlformats.org/officeDocument/2006/custom-properties" xmlns:vt="http://schemas.openxmlformats.org/officeDocument/2006/docPropsVTypes"/>
</file>