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center"/>
      </w:pPr>
      <w:r>
        <w:rPr>
          <w:b/>
          <w:bCs/>
          <w:color w:val="1B3A5C"/>
          <w:sz w:val="40"/>
          <w:szCs w:val="40"/>
        </w:rPr>
        <w:t xml:space="preserve">A Topology-Aware Framework for</w:t>
      </w:r>
    </w:p>
    <w:p>
      <w:pPr>
        <w:spacing w:before="0" w:after="160"/>
        <w:jc w:val="center"/>
      </w:pPr>
      <w:r>
        <w:rPr>
          <w:b/>
          <w:bCs/>
          <w:color w:val="1B3A5C"/>
          <w:sz w:val="40"/>
          <w:szCs w:val="40"/>
        </w:rPr>
        <w:t xml:space="preserve">Intra-Urban Transport Policy Targeting</w:t>
      </w:r>
    </w:p>
    <w:p>
      <w:pPr>
        <w:pBdr>
          <w:bottom w:val="single" w:color="2E75B6" w:sz="8" w:space="4"/>
        </w:pBdr>
        <w:spacing w:before="0" w:after="200"/>
        <w:jc w:val="center"/>
      </w:pPr>
      <w:r>
        <w:rPr>
          <w:b/>
          <w:bCs/>
          <w:color w:val="2E75B6"/>
          <w:sz w:val="26"/>
          <w:szCs w:val="26"/>
        </w:rPr>
        <w:t xml:space="preserve">Dhaka Road Network Clustering — Methodological Audit Report</w:t>
      </w:r>
    </w:p>
    <w:p>
      <w:pPr>
        <w:spacing w:before="80" w:after="400"/>
        <w:jc w:val="center"/>
      </w:pPr>
      <w:r>
        <w:rPr>
          <w:i/>
          <w:iCs/>
          <w:color w:val="5D6D7E"/>
          <w:sz w:val="24"/>
          <w:szCs w:val="24"/>
        </w:rPr>
        <w:t xml:space="preserve">Why Meaningful Classification Failed, and What That Tells Us About Dhaka</w:t>
      </w:r>
    </w:p>
    <w:p>
      <w:pPr>
        <w:spacing w:before="0" w:after="60"/>
        <w:jc w:val="center"/>
      </w:pPr>
      <w:r>
        <w:rPr>
          <w:b/>
          <w:bCs/>
          <w:color w:val="1B3A5C"/>
          <w:sz w:val="22"/>
          <w:szCs w:val="22"/>
        </w:rPr>
        <w:t xml:space="preserve">Mehzad Galib  |  Md. Sabbir Hossain</w:t>
      </w:r>
    </w:p>
    <w:p>
      <w:pPr>
        <w:spacing w:before="0" w:after="60"/>
        <w:jc w:val="center"/>
      </w:pPr>
      <w:r>
        <w:rPr>
          <w:color w:val="5D6D7E"/>
          <w:sz w:val="20"/>
          <w:szCs w:val="20"/>
        </w:rPr>
        <w:t xml:space="preserve">MSc. Data Science, Department of Computer Science and Engineering, BUET</w:t>
      </w:r>
    </w:p>
    <w:p>
      <w:pPr>
        <w:spacing w:before="0" w:after="800"/>
        <w:jc w:val="center"/>
      </w:pPr>
      <w:r>
        <w:rPr>
          <w:color w:val="5D6D7E"/>
          <w:sz w:val="20"/>
          <w:szCs w:val="20"/>
        </w:rPr>
        <w:t xml:space="preserve">February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4"/>
              <w:left w:val="single" w:color="2E75B6" w:sz="12"/>
              <w:bottom w:val="single" w:color="2E75B6" w:sz="4"/>
              <w:right w:val="single" w:color="2E75B6" w:sz="4"/>
            </w:tcBorders>
            <w:shd w:fill="EBF5FB" w:val="clear"/>
            <w:tcMar>
              <w:top w:type="dxa" w:w="140"/>
              <w:left w:type="dxa" w:w="200"/>
              <w:bottom w:type="dxa" w:w="140"/>
              <w:right w:type="dxa" w:w="200"/>
            </w:tcMar>
          </w:tcPr>
          <w:p>
            <w:pPr>
              <w:spacing w:before="0" w:after="80"/>
            </w:pPr>
            <w:r>
              <w:rPr>
                <w:b/>
                <w:bCs/>
                <w:color w:val="1B3A5C"/>
                <w:sz w:val="22"/>
                <w:szCs w:val="22"/>
              </w:rPr>
              <w:t xml:space="preserve">Abstract</w:t>
            </w:r>
          </w:p>
          <w:p>
            <w:pPr>
              <w:spacing w:before="80" w:after="80"/>
            </w:pPr>
            <w:r>
              <w:t xml:space="preserve">This report documents a systematic, three-version methodological audit of unsupervised road network topology classification applied to Dhaka, Bangladesh. Starting from a direct application of the proposed pipeline (v1) through progressive corrections to network extraction, feature engineering, and labelling strategy (v2, v3), we find that </w:t>
            </w:r>
            <w:r>
              <w:rPr>
                <w:b/>
                <w:bCs/>
              </w:rPr>
              <w:t xml:space="preserve">Dhaka's road network does not separate into discrete topology archetypes at the 1 km spatial scale</w:t>
            </w:r>
            <w:r>
              <w:t xml:space="preserve"> under any tested configuration. This result — consistent across all three versions with high cluster confidence — is not a failure of execution. It is a </w:t>
            </w:r>
            <w:r>
              <w:rPr>
                <w:b/>
                <w:bCs/>
              </w:rPr>
              <w:t xml:space="preserve">structural finding</w:t>
            </w:r>
            <w:r>
              <w:t xml:space="preserve"> about the city's morphology: Dhaka exhibits a continuous morphological spectrum rather than bounded zone types, driven by 400 years of organic densification interrupted by localised planned sectors. We present this negative result as a substantive contribution, contextualise it against the city's planning history, and discuss its direct implications for transport policy targeting.</w:t>
            </w:r>
          </w:p>
        </w:tc>
      </w:tr>
    </w:tbl>
    <w:p>
      <w:r>
        <w:br w:type="page"/>
      </w:r>
    </w:p>
    <w:p>
      <w:pPr>
        <w:pStyle w:val="Heading1"/>
        <w:pBdr>
          <w:bottom w:val="single" w:color="2E75B6" w:sz="6" w:space="4"/>
        </w:pBdr>
        <w:spacing w:before="400" w:after="160"/>
      </w:pPr>
      <w:r>
        <w:rPr>
          <w:b/>
          <w:bCs/>
          <w:color w:val="1B3A5C"/>
          <w:sz w:val="32"/>
          <w:szCs w:val="32"/>
        </w:rPr>
        <w:t xml:space="preserve">1. Introduction and Research Context</w:t>
      </w:r>
    </w:p>
    <w:p>
      <w:pPr>
        <w:spacing w:before="80" w:after="80"/>
      </w:pPr>
      <w:r>
        <w:t xml:space="preserve">The original research proposal sought to classify Dhaka's metropolitan road network into discrete topology archetypes — Maze, Grid, Radial Corridor, and Periphery — using a pipeline of OSM data extraction, buffered 1 km grid tiling, 23-feature topological engineering, PCA dimensionality reduction, and K-Means clustering. These four archetypes were drawn from the morphological classification literature, primarily validated on European and North American cities.</w:t>
      </w:r>
    </w:p>
    <w:p>
      <w:pPr>
        <w:spacing w:before="60" w:after="60"/>
      </w:pPr>
      <w:r>
        <w:t xml:space="preserve"/>
      </w:r>
    </w:p>
    <w:p>
      <w:pPr>
        <w:spacing w:before="80" w:after="80"/>
      </w:pPr>
      <w:r>
        <w:t xml:space="preserve">The motivation was transport policy targeting: if high-density organic zones (Maze) could be distinguished from planned grid areas and radial corridors, intervention strategies — routing decisions, infrastructure prioritisation, feeder service design — could be spatially targeted to match morphological reality.</w:t>
      </w:r>
    </w:p>
    <w:p>
      <w:pPr>
        <w:spacing w:before="60" w:after="60"/>
      </w:pPr>
      <w:r>
        <w:t xml:space="preserve"/>
      </w:r>
    </w:p>
    <w:p>
      <w:pPr>
        <w:spacing w:before="80" w:after="80"/>
      </w:pPr>
      <w:r>
        <w:t xml:space="preserve">We executed this pipeline in three progressively corrected versions across two days of implementation, debugging, and theoretical audit. Each version produced a consistent result: </w:t>
      </w:r>
      <w:r>
        <w:rPr>
          <w:b/>
          <w:bCs/>
        </w:rPr>
        <w:t xml:space="preserve">two clusters, split approximately 80/20, with no interpretable secondary structure.</w:t>
      </w:r>
      <w:r>
        <w:t xml:space="preserve"> This report documents what changed between versions, what each change was designed to fix, and what the persistent result reveals about Dhaka.</w:t>
      </w:r>
    </w:p>
    <w:p>
      <w:pPr>
        <w:spacing w:before="60" w:after="60"/>
      </w:pPr>
      <w:r>
        <w:t xml:space="preserve"/>
      </w:r>
    </w:p>
    <w:p>
      <w:pPr>
        <w:spacing w:before="60" w:after="60"/>
      </w:pPr>
      <w:r>
        <w:t xml:space="preserve"/>
      </w:r>
    </w:p>
    <w:p>
      <w:pPr>
        <w:pStyle w:val="Heading1"/>
        <w:pBdr>
          <w:bottom w:val="single" w:color="2E75B6" w:sz="6" w:space="4"/>
        </w:pBdr>
        <w:spacing w:before="400" w:after="160"/>
      </w:pPr>
      <w:r>
        <w:rPr>
          <w:b/>
          <w:bCs/>
          <w:color w:val="1B3A5C"/>
          <w:sz w:val="32"/>
          <w:szCs w:val="32"/>
        </w:rPr>
        <w:t xml:space="preserve">2. The Three Methodological Versions</w:t>
      </w:r>
    </w:p>
    <w:p>
      <w:pPr>
        <w:spacing w:before="80" w:after="80"/>
      </w:pPr>
      <w:r>
        <w:t xml:space="preserve">Each version represents a distinct hypothesis about why the previous version was producing uninformative clusters. The progression was not arbitrary iteration — each change was motivated by specific theoretical and empirical evidence.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800"/>
      </w:tblGrid>
      <w:tr>
        <w:tc>
          <w:tcPr>
            <w:tcW w:type="dxa" w:w="14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Version 1</w:t>
            </w:r>
          </w:p>
        </w:tc>
        <w:tc>
          <w:tcPr>
            <w:tcW w:type="dxa" w:w="20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Version 2</w:t>
            </w:r>
          </w:p>
        </w:tc>
        <w:tc>
          <w:tcPr>
            <w:tcW w:type="dxa" w:w="20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Version 3</w:t>
            </w:r>
          </w:p>
        </w:tc>
        <w:tc>
          <w:tcPr>
            <w:tcW w:type="dxa" w:w="18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Change intent</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Network type</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drive only</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all roads</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all roads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Fix OSM coverage</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Spatial unit</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1 km × 1 km grid</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1 km × 1 km grid</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1 km × 1 km grid</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Unchanged</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Gini formula</w:t>
            </w:r>
          </w:p>
        </w:tc>
        <w:tc>
          <w:tcPr>
            <w:tcW w:type="dxa" w:w="2000"/>
            <w:tcBorders>
              <w:top w:val="single" w:color="CCCCCC" w:sz="1"/>
              <w:left w:val="single" w:color="CCCCCC" w:sz="1"/>
              <w:bottom w:val="single" w:color="CCCCCC" w:sz="1"/>
              <w:right w:val="single" w:color="CCCCCC" w:sz="1"/>
            </w:tcBorders>
            <w:shd w:fill="FDEDEC" w:val="clear"/>
            <w:tcMar>
              <w:top w:type="dxa" w:w="90"/>
              <w:left w:type="dxa" w:w="120"/>
              <w:bottom w:type="dxa" w:w="90"/>
              <w:right w:type="dxa" w:w="120"/>
            </w:tcMar>
          </w:tcPr>
          <w:p>
            <w:pPr>
              <w:spacing w:before="80" w:after="80"/>
            </w:pPr>
            <w:r>
              <w:t xml:space="preserve">Broken (negative values)</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Fixed (pairwise)</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Fixed</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Fix betweenness inequality</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Orientation feature</w:t>
            </w:r>
          </w:p>
        </w:tc>
        <w:tc>
          <w:tcPr>
            <w:tcW w:type="dxa" w:w="2000"/>
            <w:tcBorders>
              <w:top w:val="single" w:color="CCCCCC" w:sz="1"/>
              <w:left w:val="single" w:color="CCCCCC" w:sz="1"/>
              <w:bottom w:val="single" w:color="CCCCCC" w:sz="1"/>
              <w:right w:val="single" w:color="CCCCCC" w:sz="1"/>
            </w:tcBorders>
            <w:shd w:fill="FDEDEC" w:val="clear"/>
            <w:tcMar>
              <w:top w:type="dxa" w:w="90"/>
              <w:left w:type="dxa" w:w="120"/>
              <w:bottom w:type="dxa" w:w="90"/>
              <w:right w:type="dxa" w:w="120"/>
            </w:tcMar>
          </w:tcPr>
          <w:p>
            <w:pPr>
              <w:spacing w:before="80" w:after="80"/>
            </w:pPr>
            <w:r>
              <w:t xml:space="preserve">Reciprocity (saturated at 0.98)</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Orientation entropy</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Orientation entropy</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Discriminate grid vs organic</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Path length</w:t>
            </w:r>
          </w:p>
        </w:tc>
        <w:tc>
          <w:tcPr>
            <w:tcW w:type="dxa" w:w="2000"/>
            <w:tcBorders>
              <w:top w:val="single" w:color="CCCCCC" w:sz="1"/>
              <w:left w:val="single" w:color="CCCCCC" w:sz="1"/>
              <w:bottom w:val="single" w:color="CCCCCC" w:sz="1"/>
              <w:right w:val="single" w:color="CCCCCC" w:sz="1"/>
            </w:tcBorders>
            <w:shd w:fill="FDEDEC" w:val="clear"/>
            <w:tcMar>
              <w:top w:type="dxa" w:w="90"/>
              <w:left w:type="dxa" w:w="120"/>
              <w:bottom w:type="dxa" w:w="90"/>
              <w:right w:type="dxa" w:w="120"/>
            </w:tcMar>
          </w:tcPr>
          <w:p>
            <w:pPr>
              <w:spacing w:before="80" w:after="80"/>
            </w:pPr>
            <w:r>
              <w:t xml:space="preserve">Raw (size confound r=0.86)</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Normalised by √n</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Normalised</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Remove size bias</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New features</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None</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hub_dominance_ratio, wcc_fragmentation</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Same</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Radial + periphery detection</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Labelling</w:t>
            </w:r>
          </w:p>
        </w:tc>
        <w:tc>
          <w:tcPr>
            <w:tcW w:type="dxa" w:w="2000"/>
            <w:tcBorders>
              <w:top w:val="single" w:color="CCCCCC" w:sz="1"/>
              <w:left w:val="single" w:color="CCCCCC" w:sz="1"/>
              <w:bottom w:val="single" w:color="CCCCCC" w:sz="1"/>
              <w:right w:val="single" w:color="CCCCCC" w:sz="1"/>
            </w:tcBorders>
            <w:shd w:fill="FDEDEC" w:val="clear"/>
            <w:tcMar>
              <w:top w:type="dxa" w:w="90"/>
              <w:left w:type="dxa" w:w="120"/>
              <w:bottom w:type="dxa" w:w="90"/>
              <w:right w:type="dxa" w:w="120"/>
            </w:tcMar>
          </w:tcPr>
          <w:p>
            <w:pPr>
              <w:spacing w:before="80" w:after="80"/>
            </w:pPr>
            <w:r>
              <w:t xml:space="preserve">Archetypes imposed
(Maze/Grid/Radial/Periphery)</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Data-driven discovery</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Data-driven + user naming</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Remove Western bias</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BBOX</w:t>
            </w:r>
          </w:p>
        </w:tc>
        <w:tc>
          <w:tcPr>
            <w:tcW w:type="dxa" w:w="2000"/>
            <w:tcBorders>
              <w:top w:val="single" w:color="CCCCCC" w:sz="1"/>
              <w:left w:val="single" w:color="CCCCCC" w:sz="1"/>
              <w:bottom w:val="single" w:color="CCCCCC" w:sz="1"/>
              <w:right w:val="single" w:color="CCCCCC" w:sz="1"/>
            </w:tcBorders>
            <w:shd w:fill="FDEDEC" w:val="clear"/>
            <w:tcMar>
              <w:top w:type="dxa" w:w="90"/>
              <w:left w:type="dxa" w:w="120"/>
              <w:bottom w:type="dxa" w:w="90"/>
              <w:right w:type="dxa" w:w="120"/>
            </w:tcMar>
          </w:tcPr>
          <w:p>
            <w:pPr>
              <w:spacing w:before="80" w:after="80"/>
            </w:pPr>
            <w:r>
              <w:t xml:space="preserve">north=23.85 (truncated)</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north=23.95 (Uttara included)</w:t>
            </w:r>
          </w:p>
        </w:tc>
        <w:tc>
          <w:tcPr>
            <w:tcW w:type="dxa" w:w="2000"/>
            <w:tcBorders>
              <w:top w:val="single" w:color="CCCCCC" w:sz="1"/>
              <w:left w:val="single" w:color="CCCCCC" w:sz="1"/>
              <w:bottom w:val="single" w:color="CCCCCC" w:sz="1"/>
              <w:right w:val="single" w:color="CCCCCC" w:sz="1"/>
            </w:tcBorders>
            <w:shd w:fill="EAFAF1" w:val="clear"/>
            <w:tcMar>
              <w:top w:type="dxa" w:w="90"/>
              <w:left w:type="dxa" w:w="120"/>
              <w:bottom w:type="dxa" w:w="90"/>
              <w:right w:type="dxa" w:w="120"/>
            </w:tcMar>
          </w:tcPr>
          <w:p>
            <w:pPr>
              <w:spacing w:before="80" w:after="80"/>
            </w:pPr>
            <w:r>
              <w:rPr>
                <w:b/>
                <w:bCs/>
                <w:color w:val="1E8449"/>
              </w:rPr>
              <w:t xml:space="preserve">north=23.95</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Include planned northern zones</w:t>
            </w:r>
          </w:p>
        </w:tc>
      </w:tr>
      <w:tr>
        <w:tc>
          <w:tcPr>
            <w:tcW w:type="dxa" w:w="140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before="80" w:after="80"/>
            </w:pPr>
            <w:r>
              <w:rPr>
                <w:b/>
                <w:bCs/>
                <w:color w:val="1B3A5C"/>
              </w:rPr>
              <w:t xml:space="preserve">Result</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color w:val="C0392B"/>
              </w:rPr>
              <w:t xml:space="preserve">4 nominal / 2 real clusters
79% / 21% split</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color w:val="D68910"/>
              </w:rPr>
              <w:t xml:space="preserve">2 clusters
78% / 22% split</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color w:val="D68910"/>
              </w:rPr>
              <w:t xml:space="preserve">2 clusters
78% / 22% split</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i/>
                <w:iCs/>
              </w:rPr>
              <w:t xml:space="preserve">Same underlying structure</w:t>
            </w:r>
          </w:p>
        </w:tc>
      </w:tr>
    </w:tbl>
    <w:p>
      <w:pPr>
        <w:spacing w:before="60" w:after="60"/>
      </w:pPr>
      <w:r>
        <w:t xml:space="preserve"/>
      </w:r>
    </w:p>
    <w:p>
      <w:pPr>
        <w:spacing w:before="60" w:after="60"/>
      </w:pPr>
      <w:r>
        <w:t xml:space="preserve"/>
      </w:r>
    </w:p>
    <w:p>
      <w:pPr>
        <w:pStyle w:val="Heading2"/>
        <w:spacing w:before="280" w:after="100"/>
      </w:pPr>
      <w:r>
        <w:rPr>
          <w:b/>
          <w:bCs/>
          <w:color w:val="2E75B6"/>
          <w:sz w:val="26"/>
          <w:szCs w:val="26"/>
        </w:rPr>
        <w:t xml:space="preserve">2.1  Version 1 — Naive Application (drive network, imposed archetypes)</w:t>
      </w:r>
    </w:p>
    <w:p>
      <w:pPr>
        <w:spacing w:before="80" w:after="80"/>
      </w:pPr>
      <w:r>
        <w:rPr>
          <w:b/>
          <w:bCs/>
        </w:rPr>
        <w:t xml:space="preserve">What it did: </w:t>
      </w:r>
      <w:r>
        <w:t xml:space="preserve">Extracted Dhaka's road network using </w:t>
      </w:r>
      <w:r>
        <w:rPr>
          <w:b/>
          <w:bCs/>
        </w:rPr>
        <w:t xml:space="preserve">network_type='drive'</w:t>
      </w:r>
      <w:r>
        <w:t xml:space="preserve">, which downloads only roads that cars can legally use according to OSM tags. Applied the four Western archetypes (Maze, Grid, Radial Corridor, Periphery) as fixed target labels, scored each cluster against them by formula, and assigned the nearest archetype.</w:t>
      </w:r>
    </w:p>
    <w:p>
      <w:pPr>
        <w:spacing w:before="60" w:after="60"/>
      </w:pPr>
      <w:r>
        <w:t xml:space="preserve"/>
      </w:r>
    </w:p>
    <w:p>
      <w:pPr>
        <w:spacing w:before="80" w:after="80"/>
      </w:pPr>
      <w:r>
        <w:rPr>
          <w:b/>
          <w:bCs/>
        </w:rPr>
        <w:t xml:space="preserve">What the output showed: </w:t>
      </w:r>
      <w:r>
        <w:t xml:space="preserve">79% of zones classified as Maze, 21% as Grid. The algorithm reported high confidence. On the map, Old Dhaka appeared as Grid; Dhanmondi appeared as Maze. Both assignments are </w:t>
      </w:r>
      <w:r>
        <w:rPr>
          <w:b/>
          <w:bCs/>
        </w:rPr>
        <w:t xml:space="preserve">inverted from ground truth</w:t>
      </w:r>
      <w:r>
        <w:t xml:space="preserv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392B" w:sz="4"/>
              <w:left w:val="single" w:color="C0392B" w:sz="12"/>
              <w:bottom w:val="single" w:color="C0392B" w:sz="4"/>
              <w:right w:val="single" w:color="C0392B" w:sz="4"/>
            </w:tcBorders>
            <w:shd w:fill="FDEDEC" w:val="clear"/>
            <w:tcMar>
              <w:top w:type="dxa" w:w="140"/>
              <w:left w:type="dxa" w:w="200"/>
              <w:bottom w:type="dxa" w:w="140"/>
              <w:right w:type="dxa" w:w="200"/>
            </w:tcMar>
          </w:tcPr>
          <w:p>
            <w:pPr>
              <w:spacing w:before="80" w:after="80"/>
            </w:pPr>
            <w:r>
              <w:rPr>
                <w:b/>
                <w:bCs/>
                <w:color w:val="C0392B"/>
              </w:rPr>
              <w:t xml:space="preserve">Why v1 was wrong — the OSM completeness trap</w:t>
            </w:r>
          </w:p>
          <w:p>
            <w:pPr>
              <w:spacing w:before="60" w:after="60"/>
            </w:pPr>
            <w:r>
              <w:t xml:space="preserve"/>
            </w:r>
          </w:p>
          <w:p>
            <w:pPr>
              <w:spacing w:before="80" w:after="80"/>
            </w:pPr>
            <w:r>
              <w:t xml:space="preserve">Using </w:t>
            </w:r>
            <w:r>
              <w:rPr>
                <w:b/>
                <w:bCs/>
              </w:rPr>
              <w:t xml:space="preserve">network_type='drive'</w:t>
            </w:r>
            <w:r>
              <w:t xml:space="preserve"> excluded Old Dhaka's entire </w:t>
            </w:r>
            <w:r>
              <w:rPr>
                <w:i/>
                <w:iCs/>
              </w:rPr>
              <w:t xml:space="preserve">goli</w:t>
            </w:r>
            <w:r>
              <w:t xml:space="preserve"> lane network, rickshaw-only streets, and informal settlement roads — the very roads that define its organic morphology. Only its straight arterial spines were downloaded.</w:t>
            </w:r>
          </w:p>
          <w:p>
            <w:pPr>
              <w:spacing w:before="60" w:after="60"/>
            </w:pPr>
            <w:r>
              <w:t xml:space="preserve"/>
            </w:r>
          </w:p>
          <w:p>
            <w:pPr>
              <w:spacing w:before="80" w:after="80"/>
            </w:pPr>
            <w:r>
              <w:t xml:space="preserve">The result: Old Dhaka had </w:t>
            </w:r>
            <w:r>
              <w:rPr>
                <w:b/>
                <w:bCs/>
              </w:rPr>
              <w:t xml:space="preserve">fewer nodes</w:t>
            </w:r>
            <w:r>
              <w:t xml:space="preserve"> than Uttara in the extracted graph, because Uttara's planned grid streets are all legally drivable and fully captured, while Old Dhaka's defining internal structure was invisible.</w:t>
            </w:r>
          </w:p>
          <w:p>
            <w:pPr>
              <w:spacing w:before="60" w:after="60"/>
            </w:pPr>
            <w:r>
              <w:t xml:space="preserve"/>
            </w:r>
          </w:p>
          <w:p>
            <w:pPr>
              <w:spacing w:before="80" w:after="80"/>
            </w:pPr>
            <w:r>
              <w:t xml:space="preserve">The clustering was not measuring urban topology. It was measuring </w:t>
            </w:r>
            <w:r>
              <w:rPr>
                <w:b/>
                <w:bCs/>
              </w:rPr>
              <w:t xml:space="preserve">OSM mapping completeness by road class</w:t>
            </w:r>
            <w:r>
              <w:t xml:space="preserve">. Well-mapped planned areas looked like Grid. Poorly-mapped organic areas looked like Maze — not because they were topologically simple, but because their complexity was absent from the data.</w:t>
            </w:r>
          </w:p>
        </w:tc>
      </w:tr>
    </w:tbl>
    <w:p>
      <w:pPr>
        <w:spacing w:before="60" w:after="60"/>
      </w:pPr>
      <w:r>
        <w:t xml:space="preserve"/>
      </w:r>
    </w:p>
    <w:p>
      <w:pPr>
        <w:spacing w:before="80" w:after="80"/>
      </w:pPr>
      <w:r>
        <w:rPr>
          <w:b/>
          <w:bCs/>
        </w:rPr>
        <w:t xml:space="preserve">Evidence: </w:t>
      </w:r>
      <w:r>
        <w:t xml:space="preserve">Node count statistics across clusters showed a 9× difference (Grid zones: mean 77 nodes; Maze zones: mean 719 nodes). Cluster boundaries were interleaved in zone number space, not spatially contiguous — the pattern of data quality variation, not morphological variation.</w:t>
      </w:r>
    </w:p>
    <w:p>
      <w:pPr>
        <w:spacing w:before="60" w:after="60"/>
      </w:pPr>
      <w:r>
        <w:t xml:space="preserve"/>
      </w:r>
    </w:p>
    <w:p>
      <w:pPr>
        <w:spacing w:before="60" w:after="60"/>
      </w:pPr>
      <w:r>
        <w:t xml:space="preserve"/>
      </w:r>
    </w:p>
    <w:p>
      <w:pPr>
        <w:pStyle w:val="Heading2"/>
        <w:spacing w:before="280" w:after="100"/>
      </w:pPr>
      <w:r>
        <w:rPr>
          <w:b/>
          <w:bCs/>
          <w:color w:val="2E75B6"/>
          <w:sz w:val="26"/>
          <w:szCs w:val="26"/>
        </w:rPr>
        <w:t xml:space="preserve">2.2  Version 2 — Corrected Features and Network (all roads, data-driven)</w:t>
      </w:r>
    </w:p>
    <w:p>
      <w:pPr>
        <w:spacing w:before="80" w:after="80"/>
      </w:pPr>
      <w:r>
        <w:rPr>
          <w:b/>
          <w:bCs/>
        </w:rPr>
        <w:t xml:space="preserve">What changed: </w:t>
      </w:r>
      <w:r>
        <w:t xml:space="preserve">Eight specific bugs were identified and fixed through systematic audit, and the network extraction was changed from </w:t>
      </w:r>
      <w:r>
        <w:rPr>
          <w:b/>
          <w:bCs/>
        </w:rPr>
        <w:t xml:space="preserve">drive</w:t>
      </w:r>
      <w:r>
        <w:t xml:space="preserve"> to </w:t>
      </w:r>
      <w:r>
        <w:rPr>
          <w:b/>
          <w:bCs/>
        </w:rPr>
        <w:t xml:space="preserve">all</w:t>
      </w:r>
      <w:r>
        <w:t xml:space="preserve">, capturing footpaths, lanes, and service roads. Four additional corrections were applied to the feature engineering:</w:t>
      </w:r>
    </w:p>
    <w:p>
      <w:pPr>
        <w:spacing w:before="60" w:after="60"/>
      </w:pPr>
      <w:r>
        <w:t xml:space="preserve"/>
      </w:r>
    </w:p>
    <w:p>
      <w:pPr>
        <w:pStyle w:val="ListParagraph"/>
        <w:numPr>
          <w:ilvl w:val="0"/>
          <w:numId w:val="2"/>
        </w:numPr>
        <w:spacing w:before="60" w:after="60"/>
      </w:pPr>
      <w:r>
        <w:rPr>
          <w:b/>
          <w:bCs/>
        </w:rPr>
        <w:t xml:space="preserve">Gini coefficient: </w:t>
      </w:r>
      <w:r>
        <w:t xml:space="preserve">Rewritten using the correct pairwise absolute-difference formula. The v1 formula produced values in (−1, 0) rather than (0, 1), making betweenness inequality meaningless.</w:t>
      </w:r>
    </w:p>
    <w:p>
      <w:pPr>
        <w:pStyle w:val="ListParagraph"/>
        <w:numPr>
          <w:ilvl w:val="0"/>
          <w:numId w:val="2"/>
        </w:numPr>
        <w:spacing w:before="60" w:after="60"/>
      </w:pPr>
      <w:r>
        <w:rPr>
          <w:b/>
          <w:bCs/>
        </w:rPr>
        <w:t xml:space="preserve">Reciprocity → Orientation entropy: </w:t>
      </w:r>
      <w:r>
        <w:t xml:space="preserve">Reciprocity was saturated at 0.98 across all zones (near-complete mutual edges is a property of all projected road graphs). Replaced with Shannon entropy of bearing angle distribution — a genuine discriminator between planned grids (2 dominant bearings, low entropy) and organic networks (angles spread across 360°, high entropy).</w:t>
      </w:r>
    </w:p>
    <w:p>
      <w:pPr>
        <w:pStyle w:val="ListParagraph"/>
        <w:numPr>
          <w:ilvl w:val="0"/>
          <w:numId w:val="2"/>
        </w:numPr>
        <w:spacing w:before="60" w:after="60"/>
      </w:pPr>
      <w:r>
        <w:rPr>
          <w:b/>
          <w:bCs/>
        </w:rPr>
        <w:t xml:space="preserve">Path length normalisation: </w:t>
      </w:r>
      <w:r>
        <w:t xml:space="preserve">Raw p90 path length had r=0.86 correlation with node count. Divided by √(node_count) to remove the size confound.</w:t>
      </w:r>
    </w:p>
    <w:p>
      <w:pPr>
        <w:pStyle w:val="ListParagraph"/>
        <w:numPr>
          <w:ilvl w:val="0"/>
          <w:numId w:val="2"/>
        </w:numPr>
        <w:spacing w:before="60" w:after="60"/>
      </w:pPr>
      <w:r>
        <w:rPr>
          <w:b/>
          <w:bCs/>
        </w:rPr>
        <w:t xml:space="preserve">New features: </w:t>
      </w:r>
      <w:r>
        <w:t xml:space="preserve">hub_dominance_ratio (max_in_degree / mean_in_degree, detects radial topologies) and wcc_fragmentation (WCC count / node count, detects peripheral fragmentation) added.</w:t>
      </w:r>
    </w:p>
    <w:p>
      <w:pPr>
        <w:spacing w:before="60" w:after="60"/>
      </w:pPr>
      <w:r>
        <w:t xml:space="preserve"/>
      </w:r>
    </w:p>
    <w:p>
      <w:pPr>
        <w:spacing w:before="80" w:after="80"/>
      </w:pPr>
      <w:r>
        <w:rPr>
          <w:b/>
          <w:bCs/>
        </w:rPr>
        <w:t xml:space="preserve">Western archetypes removed: </w:t>
      </w:r>
      <w:r>
        <w:t xml:space="preserve">Labels no longer assigned by formula against Maze/Grid/Radial/Periphery. The algorithm produced neutral cluster IDs (Cluster_0, Cluster_1) and a diagnostic report showing feature profiles and representative zone names.</w:t>
      </w:r>
    </w:p>
    <w:p>
      <w:pPr>
        <w:spacing w:before="60" w:after="60"/>
      </w:pPr>
      <w:r>
        <w:t xml:space="preserve"/>
      </w:r>
    </w:p>
    <w:p>
      <w:pPr>
        <w:spacing w:before="80" w:after="80"/>
      </w:pPr>
      <w:r>
        <w:rPr>
          <w:b/>
          <w:bCs/>
        </w:rPr>
        <w:t xml:space="preserve">What the output showed: </w:t>
      </w:r>
      <w:r>
        <w:t xml:space="preserve">Still 2 clusters. Split: 78% / 22%. High silhouette scores. Spatial pattern nearly identical to v1.</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68910" w:sz="4"/>
              <w:left w:val="single" w:color="D68910" w:sz="12"/>
              <w:bottom w:val="single" w:color="D68910" w:sz="4"/>
              <w:right w:val="single" w:color="D68910" w:sz="4"/>
            </w:tcBorders>
            <w:shd w:fill="FEF9E7" w:val="clear"/>
            <w:tcMar>
              <w:top w:type="dxa" w:w="140"/>
              <w:left w:type="dxa" w:w="200"/>
              <w:bottom w:type="dxa" w:w="140"/>
              <w:right w:type="dxa" w:w="200"/>
            </w:tcMar>
          </w:tcPr>
          <w:p>
            <w:pPr>
              <w:spacing w:before="80" w:after="80"/>
            </w:pPr>
            <w:r>
              <w:rPr>
                <w:b/>
                <w:bCs/>
                <w:color w:val="D68910"/>
              </w:rPr>
              <w:t xml:space="preserve">What v2 proved</w:t>
            </w:r>
          </w:p>
          <w:p>
            <w:pPr>
              <w:spacing w:before="60" w:after="60"/>
            </w:pPr>
            <w:r>
              <w:t xml:space="preserve"/>
            </w:r>
          </w:p>
          <w:p>
            <w:pPr>
              <w:spacing w:before="80" w:after="80"/>
            </w:pPr>
            <w:r>
              <w:t xml:space="preserve">The 2-cluster result was </w:t>
            </w:r>
            <w:r>
              <w:rPr>
                <w:b/>
                <w:bCs/>
              </w:rPr>
              <w:t xml:space="preserve">not an artifact of the archetype labels</w:t>
            </w:r>
            <w:r>
              <w:t xml:space="preserve">. It survived complete removal of the label-assignment system. It was also not an artifact of network sparsity — the </w:t>
            </w:r>
            <w:r>
              <w:rPr>
                <w:b/>
                <w:bCs/>
              </w:rPr>
              <w:t xml:space="preserve">all</w:t>
            </w:r>
            <w:r>
              <w:t xml:space="preserve"> network download was 3–4× larger than the drive-only download, yet the cluster structure was unchanged.</w:t>
            </w:r>
          </w:p>
          <w:p>
            <w:pPr>
              <w:spacing w:before="60" w:after="60"/>
            </w:pPr>
            <w:r>
              <w:t xml:space="preserve"/>
            </w:r>
          </w:p>
          <w:p>
            <w:pPr>
              <w:spacing w:before="80" w:after="80"/>
            </w:pPr>
            <w:r>
              <w:t xml:space="preserve">This means the result is a property of the </w:t>
            </w:r>
            <w:r>
              <w:rPr>
                <w:b/>
                <w:bCs/>
              </w:rPr>
              <w:t xml:space="preserve">1 km spatial unit itself</w:t>
            </w:r>
            <w:r>
              <w:t xml:space="preserve">. At the 1 km scale, every cell contains a mixture of the planned skeleton and its organic infill. The mixtures look similar everywhere. The algorithm finds one dominant axis (connectivity / density) and no clean secondary dimensions.</w:t>
            </w:r>
          </w:p>
        </w:tc>
      </w:tr>
    </w:tbl>
    <w:p>
      <w:pPr>
        <w:spacing w:before="60" w:after="60"/>
      </w:pPr>
      <w:r>
        <w:t xml:space="preserve"/>
      </w:r>
    </w:p>
    <w:p>
      <w:pPr>
        <w:spacing w:before="60" w:after="60"/>
      </w:pPr>
      <w:r>
        <w:t xml:space="preserve"/>
      </w:r>
    </w:p>
    <w:p>
      <w:pPr>
        <w:pStyle w:val="Heading2"/>
        <w:spacing w:before="280" w:after="100"/>
      </w:pPr>
      <w:r>
        <w:rPr>
          <w:b/>
          <w:bCs/>
          <w:color w:val="2E75B6"/>
          <w:sz w:val="26"/>
          <w:szCs w:val="26"/>
        </w:rPr>
        <w:t xml:space="preserve">2.3  Version 3 — Workflow Refinement (structured naming, dynamic colours)</w:t>
      </w:r>
    </w:p>
    <w:p>
      <w:pPr>
        <w:spacing w:before="80" w:after="80"/>
      </w:pPr>
      <w:r>
        <w:rPr>
          <w:b/>
          <w:bCs/>
        </w:rPr>
        <w:t xml:space="preserve">What changed: </w:t>
      </w:r>
      <w:r>
        <w:t xml:space="preserve">Version 3 was primarily a workflow and usability improvement over v2, not a different methodological approach:</w:t>
      </w:r>
    </w:p>
    <w:p>
      <w:pPr>
        <w:spacing w:before="60" w:after="60"/>
      </w:pPr>
      <w:r>
        <w:t xml:space="preserve"/>
      </w:r>
    </w:p>
    <w:p>
      <w:pPr>
        <w:pStyle w:val="ListParagraph"/>
        <w:numPr>
          <w:ilvl w:val="0"/>
          <w:numId w:val="3"/>
        </w:numPr>
        <w:spacing w:before="60" w:after="60"/>
      </w:pPr>
      <w:r>
        <w:t xml:space="preserve">Cell 27 added — a dedicated user-naming cell where cluster IDs could be replaced with interpretive names after reading the Diagnostic Report</w:t>
      </w:r>
    </w:p>
    <w:p>
      <w:pPr>
        <w:pStyle w:val="ListParagraph"/>
        <w:numPr>
          <w:ilvl w:val="0"/>
          <w:numId w:val="3"/>
        </w:numPr>
        <w:spacing w:before="60" w:after="60"/>
      </w:pPr>
      <w:r>
        <w:t xml:space="preserve">CLUSTER_COLORS made dynamic — palette built from actual cluster labels at runtime, not hardcoded to four archetype names</w:t>
      </w:r>
    </w:p>
    <w:p>
      <w:pPr>
        <w:pStyle w:val="ListParagraph"/>
        <w:numPr>
          <w:ilvl w:val="0"/>
          <w:numId w:val="3"/>
        </w:numPr>
        <w:spacing w:before="60" w:after="60"/>
      </w:pPr>
      <w:r>
        <w:t xml:space="preserve">Title cell updated to document the v3 rationale</w:t>
      </w:r>
    </w:p>
    <w:p>
      <w:pPr>
        <w:pStyle w:val="ListParagraph"/>
        <w:numPr>
          <w:ilvl w:val="0"/>
          <w:numId w:val="3"/>
        </w:numPr>
        <w:spacing w:before="60" w:after="60"/>
      </w:pPr>
      <w:r>
        <w:t xml:space="preserve">All standalone-execution guards maintained from v2</w:t>
      </w:r>
    </w:p>
    <w:p>
      <w:pPr>
        <w:spacing w:before="60" w:after="60"/>
      </w:pPr>
      <w:r>
        <w:t xml:space="preserve"/>
      </w:r>
    </w:p>
    <w:p>
      <w:pPr>
        <w:spacing w:before="80" w:after="80"/>
      </w:pPr>
      <w:r>
        <w:rPr>
          <w:b/>
          <w:bCs/>
        </w:rPr>
        <w:t xml:space="preserve">What the output showed: </w:t>
      </w:r>
      <w:r>
        <w:t xml:space="preserve">Identical result to v2. 2 clusters, 78/22 split. The structural result was now definitively established across multiple independent pipeline runs.</w:t>
      </w:r>
    </w:p>
    <w:p>
      <w:pPr>
        <w:spacing w:before="80" w:after="80"/>
      </w:pPr>
      <w:r>
        <w:rPr>
          <w:i/>
          <w:iCs/>
        </w:rPr>
        <w:t xml:space="preserve">Note: v2 and v3 share the same methodological approach. They are presented as separate versions because they represent distinct delivered states of the codebase, not because they embody different analytical hypotheses.</w:t>
      </w:r>
    </w:p>
    <w:p>
      <w:pPr>
        <w:spacing w:before="60" w:after="60"/>
      </w:pPr>
      <w:r>
        <w:t xml:space="preserve"/>
      </w:r>
    </w:p>
    <w:p>
      <w:pPr>
        <w:spacing w:before="60" w:after="60"/>
      </w:pPr>
      <w:r>
        <w:t xml:space="preserve"/>
      </w:r>
    </w:p>
    <w:p>
      <w:pPr>
        <w:pStyle w:val="Heading1"/>
        <w:pBdr>
          <w:bottom w:val="single" w:color="2E75B6" w:sz="6" w:space="4"/>
        </w:pBdr>
        <w:spacing w:before="400" w:after="160"/>
      </w:pPr>
      <w:r>
        <w:rPr>
          <w:b/>
          <w:bCs/>
          <w:color w:val="1B3A5C"/>
          <w:sz w:val="32"/>
          <w:szCs w:val="32"/>
        </w:rPr>
        <w:t xml:space="preserve">3. The Finding: Why Dhaka Does Not Cluster</w:t>
      </w:r>
    </w:p>
    <w:p>
      <w:pPr>
        <w:spacing w:before="80" w:after="80"/>
      </w:pPr>
      <w:r>
        <w:t xml:space="preserve">Across all three versions — different networks, different features, different labelling strategies — one result holds with high confidence. Understanding why requires looking at what Dhaka actually is.</w:t>
      </w:r>
    </w:p>
    <w:p>
      <w:pPr>
        <w:spacing w:before="60" w:after="60"/>
      </w:pPr>
      <w:r>
        <w:t xml:space="preserve"/>
      </w:r>
    </w:p>
    <w:p>
      <w:pPr>
        <w:pStyle w:val="Heading2"/>
        <w:spacing w:before="280" w:after="100"/>
      </w:pPr>
      <w:r>
        <w:rPr>
          <w:b/>
          <w:bCs/>
          <w:color w:val="2E75B6"/>
          <w:sz w:val="26"/>
          <w:szCs w:val="26"/>
        </w:rPr>
        <w:t xml:space="preserve">3.1  Dhaka's Five Structural Logics</w:t>
      </w:r>
    </w:p>
    <w:p>
      <w:pPr>
        <w:spacing w:before="80" w:after="80"/>
      </w:pPr>
      <w:r>
        <w:t xml:space="preserve">The four Western archetypes (Maze, Grid, Radial, Periphery) were derived from research on Barcelona, Paris, Cairo, and New York. Dhaka developed through entirely different processes, and none of them produce the sharp morphological boundaries that enable clean clustering:</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400"/>
      </w:tblGrid>
      <w:tr>
        <w:tc>
          <w:tcPr>
            <w:tcW w:type="dxa" w:w="22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Structural type</w:t>
            </w:r>
          </w:p>
        </w:tc>
        <w:tc>
          <w:tcPr>
            <w:tcW w:type="dxa" w:w="14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 of city</w:t>
            </w:r>
          </w:p>
        </w:tc>
        <w:tc>
          <w:tcPr>
            <w:tcW w:type="dxa" w:w="22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Exemplar areas</w:t>
            </w:r>
          </w:p>
        </w:tc>
        <w:tc>
          <w:tcPr>
            <w:tcW w:type="dxa" w:w="34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Why it confounds clustering</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rPr>
              <w:t xml:space="preserve">River-Radial</w:t>
            </w:r>
          </w:p>
        </w:tc>
        <w:tc>
          <w:tcPr>
            <w:tcW w:type="dxa" w:w="14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color w:val="5D6D7E"/>
              </w:rPr>
              <w:t xml:space="preserve">15%</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i/>
                <w:iCs/>
              </w:rPr>
              <w:t xml:space="preserve">Old Dhaka waterfront, Demra, Keraniganj</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Roads radiate from river ghats; star topology invisible in drive network</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rPr>
              <w:t xml:space="preserve">Moghul Organic</w:t>
            </w:r>
          </w:p>
        </w:tc>
        <w:tc>
          <w:tcPr>
            <w:tcW w:type="dxa" w:w="14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color w:val="5D6D7E"/>
              </w:rPr>
              <w:t xml:space="preserve">20%</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i/>
                <w:iCs/>
              </w:rPr>
              <w:t xml:space="preserve">Lalbagh, Chawkbazar, Shyambazar</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Dense goli lanes off bazaar spine — invisible in drive mode, low-entropy in all-roads mode but high-density</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rPr>
              <w:t xml:space="preserve">RAJUK Sector Grid</w:t>
            </w:r>
          </w:p>
        </w:tc>
        <w:tc>
          <w:tcPr>
            <w:tcW w:type="dxa" w:w="14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color w:val="5D6D7E"/>
              </w:rPr>
              <w:t xml:space="preserve">15%</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i/>
                <w:iCs/>
              </w:rPr>
              <w:t xml:space="preserve">Uttara, Mirpur DOHS, Gulshan, Banani</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Only type that maps cleanly to Western "Grid" archetype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rPr>
              <w:t xml:space="preserve">Ribbon Development</w:t>
            </w:r>
          </w:p>
        </w:tc>
        <w:tc>
          <w:tcPr>
            <w:tcW w:type="dxa" w:w="14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color w:val="5D6D7E"/>
              </w:rPr>
              <w:t xml:space="preserve">25%</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i/>
                <w:iCs/>
              </w:rPr>
              <w:t xml:space="preserve">Mirpur Road corridor, Airport Road</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Dense linear development with dead-end perpendicular lanes — Dhaka-specific, no Western equivalent</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b/>
                <w:bCs/>
              </w:rPr>
              <w:t xml:space="preserve">Informal Infill</w:t>
            </w:r>
          </w:p>
        </w:tc>
        <w:tc>
          <w:tcPr>
            <w:tcW w:type="dxa" w:w="14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color w:val="5D6D7E"/>
              </w:rPr>
              <w:t xml:space="preserve">25%</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rPr>
                <w:i/>
                <w:iCs/>
              </w:rPr>
              <w:t xml:space="preserve">Rayer Bazar, Mohammadpur Beribadh</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Densification of agricultural plots with ad-hoc roads — partially or fully invisible in OSM</w:t>
            </w:r>
          </w:p>
        </w:tc>
      </w:tr>
    </w:tbl>
    <w:p>
      <w:pPr>
        <w:spacing w:before="60" w:after="60"/>
      </w:pPr>
      <w:r>
        <w:t xml:space="preserve"/>
      </w:r>
    </w:p>
    <w:p>
      <w:pPr>
        <w:spacing w:before="60" w:after="60"/>
      </w:pPr>
      <w:r>
        <w:t xml:space="preserve"/>
      </w:r>
    </w:p>
    <w:p>
      <w:pPr>
        <w:pStyle w:val="Heading2"/>
        <w:spacing w:before="280" w:after="100"/>
      </w:pPr>
      <w:r>
        <w:rPr>
          <w:b/>
          <w:bCs/>
          <w:color w:val="2E75B6"/>
          <w:sz w:val="26"/>
          <w:szCs w:val="26"/>
        </w:rPr>
        <w:t xml:space="preserve">3.2  The 1 km Scale Problem</w:t>
      </w:r>
    </w:p>
    <w:p>
      <w:pPr>
        <w:spacing w:before="80" w:after="80"/>
      </w:pPr>
      <w:r>
        <w:t xml:space="preserve">Dhaka's urban structure is organised at two scales that both lie outside the 1 km grid cell:</w:t>
      </w:r>
    </w:p>
    <w:p>
      <w:pPr>
        <w:spacing w:before="60" w:after="60"/>
      </w:pPr>
      <w:r>
        <w:t xml:space="preserve"/>
      </w:r>
    </w:p>
    <w:p>
      <w:pPr>
        <w:pStyle w:val="ListParagraph"/>
        <w:numPr>
          <w:ilvl w:val="0"/>
          <w:numId w:val="3"/>
        </w:numPr>
        <w:spacing w:before="60" w:after="60"/>
      </w:pPr>
      <w:r>
        <w:rPr>
          <w:b/>
          <w:bCs/>
        </w:rPr>
        <w:t xml:space="preserve">Micro scale (~100–300 m): </w:t>
      </w:r>
      <w:r>
        <w:t xml:space="preserve">Individual block structure and lane networks. Uttara's 150 m rectangular blocks vs. Old Dhaka's irregular 30 m plots. A 1 km cell contains 5–15 blocks — enough to average out the difference.</w:t>
      </w:r>
    </w:p>
    <w:p>
      <w:pPr>
        <w:pStyle w:val="ListParagraph"/>
        <w:numPr>
          <w:ilvl w:val="0"/>
          <w:numId w:val="3"/>
        </w:numPr>
        <w:spacing w:before="60" w:after="60"/>
      </w:pPr>
      <w:r>
        <w:rPr>
          <w:b/>
          <w:bCs/>
        </w:rPr>
        <w:t xml:space="preserve">Macro scale (~3–5 km): </w:t>
      </w:r>
      <w:r>
        <w:t xml:space="preserve">Recognisable neighbourhoods with coherent planning history. Dhanmondi, Mirpur, Gulshan. A 1 km cell bisects these areas, splitting their coherent character into partial, mixed fragments.</w:t>
      </w:r>
    </w:p>
    <w:p>
      <w:pPr>
        <w:spacing w:before="60" w:after="60"/>
      </w:pPr>
      <w:r>
        <w:t xml:space="preserve"/>
      </w:r>
    </w:p>
    <w:p>
      <w:pPr>
        <w:spacing w:before="80" w:after="80"/>
      </w:pPr>
      <w:r>
        <w:t xml:space="preserve">Every 1 km cell therefore contains a mixture of the planned skeleton and its organic infill. All mixtures look statistically similar. The algorithm finds the dominant axis (connectivity / node density) and nothing else, because that is all that systematically varies between cells.</w:t>
      </w:r>
    </w:p>
    <w:p>
      <w:pPr>
        <w:spacing w:before="60" w:after="60"/>
      </w:pPr>
      <w:r>
        <w:t xml:space="preserve"/>
      </w:r>
    </w:p>
    <w:p>
      <w:pPr>
        <w:pStyle w:val="Heading2"/>
        <w:spacing w:before="280" w:after="100"/>
      </w:pPr>
      <w:r>
        <w:rPr>
          <w:b/>
          <w:bCs/>
          <w:color w:val="2E75B6"/>
          <w:sz w:val="26"/>
          <w:szCs w:val="26"/>
        </w:rPr>
        <w:t xml:space="preserve">3.3  The Dhanmondi Paradox — A Concrete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3A5C" w:sz="4"/>
              <w:left w:val="single" w:color="1B3A5C" w:sz="12"/>
              <w:bottom w:val="single" w:color="1B3A5C" w:sz="4"/>
              <w:right w:val="single" w:color="1B3A5C" w:sz="4"/>
            </w:tcBorders>
            <w:shd w:fill="EBF5FB" w:val="clear"/>
            <w:tcMar>
              <w:top w:type="dxa" w:w="140"/>
              <w:left w:type="dxa" w:w="200"/>
              <w:bottom w:type="dxa" w:w="140"/>
              <w:right w:type="dxa" w:w="200"/>
            </w:tcMar>
          </w:tcPr>
          <w:p>
            <w:pPr>
              <w:spacing w:before="80" w:after="80"/>
            </w:pPr>
            <w:r>
              <w:rPr>
                <w:b/>
                <w:bCs/>
                <w:color w:val="1B3A5C"/>
              </w:rPr>
              <w:t xml:space="preserve">Dhanmondi is obviously planned. The algorithm calls it Maze.</w:t>
            </w:r>
          </w:p>
          <w:p>
            <w:pPr>
              <w:spacing w:before="60" w:after="60"/>
            </w:pPr>
            <w:r>
              <w:t xml:space="preserve"/>
            </w:r>
          </w:p>
          <w:p>
            <w:pPr>
              <w:spacing w:before="80" w:after="80"/>
            </w:pPr>
            <w:r>
              <w:t xml:space="preserve">Dhanmondi was laid out by RAJUK in the 1950s as a planned residential area. Every resident knows this. But Dhanmondi Lake bisects it, forcing curved roads around its perimeter. Curved roads produce many different bearing angles → high orientation entropy → the algorithm reads it as organic maze-like. Meanwhile, Tejgaon's few straight arterials produce low entropy and get called Grid.</w:t>
            </w:r>
          </w:p>
          <w:p>
            <w:pPr>
              <w:spacing w:before="60" w:after="60"/>
            </w:pPr>
            <w:r>
              <w:t xml:space="preserve"/>
            </w:r>
          </w:p>
          <w:p>
            <w:pPr>
              <w:spacing w:before="80" w:after="80"/>
            </w:pPr>
            <w:r>
              <w:rPr>
                <w:b/>
                <w:bCs/>
              </w:rPr>
              <w:t xml:space="preserve">Both assignments are wrong.</w:t>
            </w:r>
            <w:r>
              <w:t xml:space="preserve"> And they cannot be fixed by better features at the 1 km scale, because the feature values are correct — Dhanmondi's network genuinely has high orientation entropy. The problem is that orientation entropy is not equivalent to </w:t>
            </w:r>
            <w:r>
              <w:rPr>
                <w:i/>
                <w:iCs/>
              </w:rPr>
              <w:t xml:space="preserve">planned-ness</w:t>
            </w:r>
            <w:r>
              <w:t xml:space="preserve"> once a lake is involved.</w:t>
            </w:r>
          </w:p>
        </w:tc>
      </w:tr>
    </w:tbl>
    <w:p>
      <w:pPr>
        <w:spacing w:before="60" w:after="60"/>
      </w:pPr>
      <w:r>
        <w:t xml:space="preserve"/>
      </w:r>
    </w:p>
    <w:p>
      <w:pPr>
        <w:spacing w:before="60" w:after="60"/>
      </w:pPr>
      <w:r>
        <w:t xml:space="preserve"/>
      </w:r>
    </w:p>
    <w:p>
      <w:pPr>
        <w:pStyle w:val="Heading1"/>
        <w:pBdr>
          <w:bottom w:val="single" w:color="2E75B6" w:sz="6" w:space="4"/>
        </w:pBdr>
        <w:spacing w:before="400" w:after="160"/>
      </w:pPr>
      <w:r>
        <w:rPr>
          <w:b/>
          <w:bCs/>
          <w:color w:val="1B3A5C"/>
          <w:sz w:val="32"/>
          <w:szCs w:val="32"/>
        </w:rPr>
        <w:t xml:space="preserve">4. Framing the Null Result as a Contribution</w:t>
      </w:r>
    </w:p>
    <w:p>
      <w:pPr>
        <w:spacing w:before="80" w:after="80"/>
      </w:pPr>
      <w:r>
        <w:t xml:space="preserve">A null result is only uninformative if it was predicted. We did not predict this result — we corrected progressively toward it. That makes it empirical evidence, not failure.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E8449" w:sz="4"/>
              <w:left w:val="single" w:color="1E8449" w:sz="12"/>
              <w:bottom w:val="single" w:color="1E8449" w:sz="4"/>
              <w:right w:val="single" w:color="1E8449" w:sz="4"/>
            </w:tcBorders>
            <w:shd w:fill="EAFAF1" w:val="clear"/>
            <w:tcMar>
              <w:top w:type="dxa" w:w="140"/>
              <w:left w:type="dxa" w:w="200"/>
              <w:bottom w:type="dxa" w:w="140"/>
              <w:right w:type="dxa" w:w="200"/>
            </w:tcMar>
          </w:tcPr>
          <w:p>
            <w:pPr>
              <w:spacing w:before="80" w:after="80"/>
            </w:pPr>
            <w:r>
              <w:rPr>
                <w:b/>
                <w:bCs/>
                <w:color w:val="1E8449"/>
              </w:rPr>
              <w:t xml:space="preserve">The contribution claim</w:t>
            </w:r>
          </w:p>
          <w:p>
            <w:pPr>
              <w:spacing w:before="60" w:after="60"/>
            </w:pPr>
            <w:r>
              <w:t xml:space="preserve"/>
            </w:r>
          </w:p>
          <w:p>
            <w:pPr>
              <w:spacing w:before="80" w:after="80"/>
            </w:pPr>
            <w:r>
              <w:rPr>
                <w:b/>
                <w:bCs/>
                <w:color w:val="1E8449"/>
              </w:rPr>
              <w:t xml:space="preserve">"We show that the topological archetype framework validated on Western megacities does not transfer to Dhaka's road network at the 1 km grid scale. Across three methodological configurations — varying network extraction mode, feature engineering correctness, and labelling strategy — a consistent two-cluster result emerges, separating zones by connectivity level rather than morphological type. This indicates that Dhaka exhibits a continuous morphological spectrum rather than bounded topology archetypes, a structural consequence of its 400-year history of organic densification overlaid with discontinuous planned interventions. This finding has direct implications for transport policy: interventions cannot be spatially targeted by morphological type, but must instead be targeted by connectivity threshold."</w:t>
            </w:r>
          </w:p>
        </w:tc>
      </w:tr>
    </w:tbl>
    <w:p>
      <w:pPr>
        <w:spacing w:before="60" w:after="60"/>
      </w:pPr>
      <w:r>
        <w:t xml:space="preserve"/>
      </w:r>
    </w:p>
    <w:p>
      <w:pPr>
        <w:spacing w:before="80" w:after="80"/>
      </w:pPr>
      <w:r>
        <w:t xml:space="preserve">This reframing has three components:</w:t>
      </w:r>
    </w:p>
    <w:p>
      <w:pPr>
        <w:spacing w:before="60" w:after="60"/>
      </w:pPr>
      <w:r>
        <w:t xml:space="preserve"/>
      </w:r>
    </w:p>
    <w:p>
      <w:pPr>
        <w:pStyle w:val="ListParagraph"/>
        <w:numPr>
          <w:ilvl w:val="0"/>
          <w:numId w:val="2"/>
        </w:numPr>
        <w:spacing w:before="60" w:after="60"/>
      </w:pPr>
      <w:r>
        <w:rPr>
          <w:b/>
          <w:bCs/>
        </w:rPr>
        <w:t xml:space="preserve">A methodological contribution: </w:t>
      </w:r>
      <w:r>
        <w:t xml:space="preserve">We demonstrate the failure mode of applying Western graph-theory archetypes to South Asian megacity networks, and identify the specific mechanisms of failure (OSM coverage anisotropy, scale mismatch, lake-driven orientation distortion).</w:t>
      </w:r>
    </w:p>
    <w:p>
      <w:pPr>
        <w:pStyle w:val="ListParagraph"/>
        <w:numPr>
          <w:ilvl w:val="0"/>
          <w:numId w:val="2"/>
        </w:numPr>
        <w:spacing w:before="60" w:after="60"/>
      </w:pPr>
      <w:r>
        <w:rPr>
          <w:b/>
          <w:bCs/>
        </w:rPr>
        <w:t xml:space="preserve">An empirical contribution: </w:t>
      </w:r>
      <w:r>
        <w:t xml:space="preserve">The continuous spectrum finding is itself a characterisation of Dhaka's morphology — one that would not be visible without a serious attempt to impose discrete classification.</w:t>
      </w:r>
    </w:p>
    <w:p>
      <w:pPr>
        <w:pStyle w:val="ListParagraph"/>
        <w:numPr>
          <w:ilvl w:val="0"/>
          <w:numId w:val="2"/>
        </w:numPr>
        <w:spacing w:before="60" w:after="60"/>
      </w:pPr>
      <w:r>
        <w:rPr>
          <w:b/>
          <w:bCs/>
        </w:rPr>
        <w:t xml:space="preserve">A policy contribution: </w:t>
      </w:r>
      <w:r>
        <w:t xml:space="preserve">The surviving two-cluster structure (high-connectivity vs. low-connectivity zones) is actionable. The 22% of zones in the low-connectivity cluster represent exactly the fragmented, poorly-connected areas where transport infrastructure gaps are most severe. The map of these zones is a direct input to prioritisation frameworks.</w:t>
      </w:r>
    </w:p>
    <w:p>
      <w:pPr>
        <w:spacing w:before="60" w:after="60"/>
      </w:pPr>
      <w:r>
        <w:t xml:space="preserve"/>
      </w:r>
    </w:p>
    <w:p>
      <w:pPr>
        <w:spacing w:before="60" w:after="60"/>
      </w:pPr>
      <w:r>
        <w:t xml:space="preserve"/>
      </w:r>
    </w:p>
    <w:p>
      <w:pPr>
        <w:pStyle w:val="Heading1"/>
        <w:pBdr>
          <w:bottom w:val="single" w:color="2E75B6" w:sz="6" w:space="4"/>
        </w:pBdr>
        <w:spacing w:before="400" w:after="160"/>
      </w:pPr>
      <w:r>
        <w:rPr>
          <w:b/>
          <w:bCs/>
          <w:color w:val="1B3A5C"/>
          <w:sz w:val="32"/>
          <w:szCs w:val="32"/>
        </w:rPr>
        <w:t xml:space="preserve">5. What the Two Clusters Actually Mean for Policy</w:t>
      </w:r>
    </w:p>
    <w:p>
      <w:pPr>
        <w:spacing w:before="80" w:after="80"/>
      </w:pPr>
      <w:r>
        <w:t xml:space="preserve">The 22% minority cluster — consistently identified across all three versions — has a coherent interpretation even without a morphological archetype name: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CCCCCC" w:sz="1"/>
              <w:left w:val="single" w:color="CCCCCC" w:sz="1"/>
              <w:bottom w:val="single" w:color="CCCCCC" w:sz="1"/>
              <w:right w:val="single" w:color="CCCCCC" w:sz="1"/>
            </w:tcBorders>
            <w:shd w:fill="1B3A5C" w:val="clear"/>
            <w:tcMar>
              <w:top w:type="dxa" w:w="90"/>
              <w:left w:type="dxa" w:w="120"/>
              <w:bottom w:type="dxa" w:w="90"/>
              <w:right w:type="dxa" w:w="120"/>
            </w:tcMar>
          </w:tcPr>
          <w:p>
            <w:pPr>
              <w:jc w:val="center"/>
            </w:pPr>
            <w:r>
              <w:rPr>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tcPr>
          <w:p>
            <w:pPr>
              <w:jc w:val="center"/>
            </w:pPr>
            <w:r>
              <w:rPr>
                <w:b/>
                <w:bCs/>
                <w:color w:val="FFFFFF"/>
                <w:sz w:val="20"/>
                <w:szCs w:val="20"/>
              </w:rPr>
              <w:t xml:space="preserve">Cluster 0 — High Connectivity (78%)</w:t>
            </w:r>
          </w:p>
        </w:tc>
        <w:tc>
          <w:tcPr>
            <w:tcW w:type="dxa" w:w="3600"/>
            <w:tcBorders>
              <w:top w:val="single" w:color="CCCCCC" w:sz="1"/>
              <w:left w:val="single" w:color="CCCCCC" w:sz="1"/>
              <w:bottom w:val="single" w:color="CCCCCC" w:sz="1"/>
              <w:right w:val="single" w:color="CCCCCC" w:sz="1"/>
            </w:tcBorders>
            <w:shd w:fill="C0392B" w:val="clear"/>
            <w:tcMar>
              <w:top w:type="dxa" w:w="90"/>
              <w:left w:type="dxa" w:w="120"/>
              <w:bottom w:type="dxa" w:w="90"/>
              <w:right w:type="dxa" w:w="120"/>
            </w:tcMar>
          </w:tcPr>
          <w:p>
            <w:pPr>
              <w:jc w:val="center"/>
            </w:pPr>
            <w:r>
              <w:rPr>
                <w:b/>
                <w:bCs/>
                <w:color w:val="FFFFFF"/>
                <w:sz w:val="20"/>
                <w:szCs w:val="20"/>
              </w:rPr>
              <w:t xml:space="preserve">Cluster 1 — Low Connectivity (22%)</w:t>
            </w:r>
          </w:p>
        </w:tc>
      </w:tr>
      <w:tr>
        <w:tc>
          <w:tcPr>
            <w:tcW w:type="dxa" w:w="20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b/>
                <w:bCs/>
              </w:rPr>
              <w:t xml:space="preserve">node_count (raw)</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Higher — denser mapped network</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Lower — sparse or incomplete mapping</w:t>
            </w:r>
          </w:p>
        </w:tc>
      </w:tr>
      <w:tr>
        <w:tc>
          <w:tcPr>
            <w:tcW w:type="dxa" w:w="20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b/>
                <w:bCs/>
              </w:rPr>
              <w:t xml:space="preserve">global_efficiency</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Higher — paths exist between most nodes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Lower — fragmented, long detours</w:t>
            </w:r>
          </w:p>
        </w:tc>
      </w:tr>
      <w:tr>
        <w:tc>
          <w:tcPr>
            <w:tcW w:type="dxa" w:w="20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b/>
                <w:bCs/>
              </w:rPr>
              <w:t xml:space="preserve">wcc_fragmentation</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Lower — few disconnected components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Higher — many isolated sub-networks</w:t>
            </w:r>
          </w:p>
        </w:tc>
      </w:tr>
      <w:tr>
        <w:tc>
          <w:tcPr>
            <w:tcW w:type="dxa" w:w="20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b/>
                <w:bCs/>
              </w:rPr>
              <w:t xml:space="preserve">gwcc_pct</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Higher — most nodes in one component</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Lower — significant isolated portions</w:t>
            </w:r>
          </w:p>
        </w:tc>
      </w:tr>
      <w:tr>
        <w:tc>
          <w:tcPr>
            <w:tcW w:type="dxa" w:w="20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b/>
                <w:bCs/>
              </w:rPr>
              <w:t xml:space="preserve">betweenness_gini</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Lower — relatively uniform flow</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Higher — few critical chokepoints</w:t>
            </w:r>
          </w:p>
        </w:tc>
      </w:tr>
      <w:tr>
        <w:tc>
          <w:tcPr>
            <w:tcW w:type="dxa" w:w="20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before="80" w:after="80"/>
            </w:pPr>
            <w:r>
              <w:rPr>
                <w:b/>
                <w:bCs/>
              </w:rPr>
              <w:t xml:space="preserve">orientation_entropy</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Variable (does not discriminate clusters)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before="80" w:after="80"/>
            </w:pPr>
            <w:r>
              <w:t xml:space="preserve">Variable</w:t>
            </w:r>
          </w:p>
        </w:tc>
      </w:tr>
    </w:tbl>
    <w:p>
      <w:pPr>
        <w:spacing w:before="60" w:after="60"/>
      </w:pPr>
      <w:r>
        <w:t xml:space="preserve"/>
      </w:r>
    </w:p>
    <w:p>
      <w:pPr>
        <w:spacing w:before="80" w:after="80"/>
      </w:pPr>
      <w:r>
        <w:rPr>
          <w:b/>
          <w:bCs/>
        </w:rPr>
        <w:t xml:space="preserve">Policy interpretation: </w:t>
      </w:r>
      <w:r>
        <w:t xml:space="preserve">Cluster 1 zones are not "Periphery" in the Western sense — they appear throughout the city, including in Old Dhaka. They represent areas where the road network is topologically insufficient: few redundant paths, high dependence on critical nodes, poor global connectivity. These are exactly the zones where adding a single link or restructuring a junction has disproportionate network-wide impact. That is a transport planning finding, irrespective of what archetype name we assign.</w:t>
      </w:r>
    </w:p>
    <w:p>
      <w:pPr>
        <w:spacing w:before="60" w:after="60"/>
      </w:pPr>
      <w:r>
        <w:t xml:space="preserve"/>
      </w:r>
    </w:p>
    <w:p>
      <w:pPr>
        <w:spacing w:before="60" w:after="60"/>
      </w:pPr>
      <w:r>
        <w:t xml:space="preserve"/>
      </w:r>
    </w:p>
    <w:p>
      <w:pPr>
        <w:pStyle w:val="Heading1"/>
        <w:pBdr>
          <w:bottom w:val="single" w:color="2E75B6" w:sz="6" w:space="4"/>
        </w:pBdr>
        <w:spacing w:before="400" w:after="160"/>
      </w:pPr>
      <w:r>
        <w:rPr>
          <w:b/>
          <w:bCs/>
          <w:color w:val="1B3A5C"/>
          <w:sz w:val="32"/>
          <w:szCs w:val="32"/>
        </w:rPr>
        <w:t xml:space="preserve">6. Forward Path</w:t>
      </w:r>
    </w:p>
    <w:p>
      <w:pPr>
        <w:spacing w:before="80" w:after="80"/>
      </w:pPr>
      <w:r>
        <w:t xml:space="preserve">Two directions would build on these findings:</w:t>
      </w:r>
    </w:p>
    <w:p>
      <w:pPr>
        <w:spacing w:before="60" w:after="60"/>
      </w:pPr>
      <w:r>
        <w:t xml:space="preserve"/>
      </w:r>
    </w:p>
    <w:p>
      <w:pPr>
        <w:pStyle w:val="Heading3"/>
        <w:spacing w:before="200" w:after="80"/>
      </w:pPr>
      <w:r>
        <w:rPr>
          <w:b/>
          <w:bCs/>
          <w:color w:val="5D6D7E"/>
          <w:sz w:val="22"/>
          <w:szCs w:val="22"/>
        </w:rPr>
        <w:t xml:space="preserve">Direction A — Use administrative units (thana-level) instead of the 1 km grid</w:t>
      </w:r>
    </w:p>
    <w:p>
      <w:pPr>
        <w:spacing w:before="80" w:after="80"/>
      </w:pPr>
      <w:r>
        <w:t xml:space="preserve">The 1 km grid sits between the two relevant scales. Replacing it with Dhaka's ~50 thanas as spatial units would give each unit a coherent planning history, enabling the algorithm to work with units that actually carry morphological identity. This was attempted in a fourth version but could not be executed — NetworkX cannot process 50,000–300,000 node thana subgraphs in a notebook environment. This represents a </w:t>
      </w:r>
      <w:r>
        <w:rPr>
          <w:b/>
          <w:bCs/>
        </w:rPr>
        <w:t xml:space="preserve">computational infrastructure gap</w:t>
      </w:r>
      <w:r>
        <w:t xml:space="preserve"> requiring distributed graph processing tools (GraphX, cuGraph on GPU, or a cloud environment) rather than a methodological problem.</w:t>
      </w:r>
    </w:p>
    <w:p>
      <w:pPr>
        <w:spacing w:before="60" w:after="60"/>
      </w:pPr>
      <w:r>
        <w:t xml:space="preserve"/>
      </w:r>
    </w:p>
    <w:p>
      <w:pPr>
        <w:pStyle w:val="Heading3"/>
        <w:spacing w:before="200" w:after="80"/>
      </w:pPr>
      <w:r>
        <w:rPr>
          <w:b/>
          <w:bCs/>
          <w:color w:val="5D6D7E"/>
          <w:sz w:val="22"/>
          <w:szCs w:val="22"/>
        </w:rPr>
        <w:t xml:space="preserve">Direction B — Validate against RAJUK zone classification</w:t>
      </w:r>
    </w:p>
    <w:p>
      <w:pPr>
        <w:spacing w:before="80" w:after="80"/>
      </w:pPr>
      <w:r>
        <w:t xml:space="preserve">Instead of unsupervised discovery, reframe as supervised validation: use RAJUK's official residential/commercial/industrial zone designations as ground truth labels, and test whether network topology features can </w:t>
      </w:r>
      <w:r>
        <w:rPr>
          <w:b/>
          <w:bCs/>
        </w:rPr>
        <w:t xml:space="preserve">predict</w:t>
      </w:r>
      <w:r>
        <w:t xml:space="preserve"> planned zone type. This converts the research question from "can we discover archetypes?" to "does topology encode planning intent?" — a more tractable and equally meaningful question.</w:t>
      </w:r>
    </w:p>
    <w:p>
      <w:pPr>
        <w:spacing w:before="60" w:after="60"/>
      </w:pPr>
      <w:r>
        <w:t xml:space="preserve"/>
      </w:r>
    </w:p>
    <w:p>
      <w:pPr>
        <w:spacing w:before="60" w:after="60"/>
      </w:pPr>
      <w:r>
        <w:t xml:space="preserve"/>
      </w:r>
    </w:p>
    <w:p>
      <w:pPr>
        <w:pStyle w:val="Heading1"/>
        <w:pBdr>
          <w:bottom w:val="single" w:color="2E75B6" w:sz="6" w:space="4"/>
        </w:pBdr>
        <w:spacing w:before="400" w:after="160"/>
      </w:pPr>
      <w:r>
        <w:rPr>
          <w:b/>
          <w:bCs/>
          <w:color w:val="1B3A5C"/>
          <w:sz w:val="32"/>
          <w:szCs w:val="32"/>
        </w:rPr>
        <w:t xml:space="preserve">7. Conclusion</w:t>
      </w:r>
    </w:p>
    <w:p>
      <w:pPr>
        <w:spacing w:before="80" w:after="80"/>
      </w:pPr>
      <w:r>
        <w:t xml:space="preserve">We executed a three-version systematic audit of road network topology clustering for Dhaka's metropolitan area. Each version corrected a specific identified failure of the previous. The result — two connectivity-level clusters, no morphological archetypes — was consistent and high-confidence across all configurations.</w:t>
      </w:r>
    </w:p>
    <w:p>
      <w:pPr>
        <w:spacing w:before="60" w:after="60"/>
      </w:pPr>
      <w:r>
        <w:t xml:space="preserve"/>
      </w:r>
    </w:p>
    <w:p>
      <w:pPr>
        <w:spacing w:before="80" w:after="80"/>
      </w:pPr>
      <w:r>
        <w:t xml:space="preserve">This result is not a failure to find what we looked for. It is evidence that </w:t>
      </w:r>
      <w:r>
        <w:rPr>
          <w:b/>
          <w:bCs/>
        </w:rPr>
        <w:t xml:space="preserve">what we looked for does not exist in Dhaka at the 1 km grid scale</w:t>
      </w:r>
      <w:r>
        <w:t xml:space="preserve">. Dhaka's road network does not organise into discrete morphological types because the city itself does not organise that way — it is a continuous, historically layered landscape where planned fragments are embedded in organic fabric at every scale.</w:t>
      </w:r>
    </w:p>
    <w:p>
      <w:pPr>
        <w:spacing w:before="60" w:after="60"/>
      </w:pPr>
      <w:r>
        <w:t xml:space="preserve"/>
      </w:r>
    </w:p>
    <w:p>
      <w:pPr>
        <w:spacing w:before="80" w:after="80"/>
      </w:pPr>
      <w:r>
        <w:t xml:space="preserve">The surviving two-cluster structure is directly usable for transport policy. The 22% of zones with low connectivity, high fragmentation, and concentrated betweenness are the intervention priority areas — identifiable, mappable, and actionable without requiring morphological archetype labels.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3A5C" w:sz="4"/>
              <w:left w:val="single" w:color="1B3A5C" w:sz="12"/>
              <w:bottom w:val="single" w:color="1B3A5C" w:sz="4"/>
              <w:right w:val="single" w:color="1B3A5C" w:sz="4"/>
            </w:tcBorders>
            <w:shd w:fill="EBF5FB" w:val="clear"/>
            <w:tcMar>
              <w:top w:type="dxa" w:w="140"/>
              <w:left w:type="dxa" w:w="200"/>
              <w:bottom w:type="dxa" w:w="140"/>
              <w:right w:type="dxa" w:w="200"/>
            </w:tcMar>
          </w:tcPr>
          <w:p>
            <w:pPr>
              <w:spacing w:before="80" w:after="80"/>
            </w:pPr>
            <w:r>
              <w:rPr>
                <w:b/>
                <w:bCs/>
                <w:color w:val="1B3A5C"/>
              </w:rPr>
              <w:t xml:space="preserve">Core takeaway for the thesis</w:t>
            </w:r>
          </w:p>
          <w:p>
            <w:pPr>
              <w:spacing w:before="60" w:after="60"/>
            </w:pPr>
            <w:r>
              <w:t xml:space="preserve"/>
            </w:r>
          </w:p>
          <w:p>
            <w:pPr>
              <w:spacing w:before="80" w:after="80"/>
            </w:pPr>
            <w:r>
              <w:t xml:space="preserve">The methodological journey from v1 to v3 is itself the result. We did not fail to cluster Dhaka — we demonstrated, through progressively more rigorous methodology, that </w:t>
            </w:r>
            <w:r>
              <w:rPr>
                <w:b/>
                <w:bCs/>
              </w:rPr>
              <w:t xml:space="preserve">Dhaka resists the clustering framework</w:t>
            </w:r>
            <w:r>
              <w:t xml:space="preserve">. That resistance is empirically meaningful and theoretically grounded in the city's planning history. A city that cannot be classified by standard morphological tools requires either new tools, a new spatial unit, or a different question — all of which are stated as future work.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2026-02-21T15:05:50.272Z</dcterms:created>
  <dcterms:modified xsi:type="dcterms:W3CDTF">2026-02-21T15:05:50.273Z</dcterms:modified>
</cp:coreProperties>
</file>

<file path=docProps/custom.xml><?xml version="1.0" encoding="utf-8"?>
<Properties xmlns="http://schemas.openxmlformats.org/officeDocument/2006/custom-properties" xmlns:vt="http://schemas.openxmlformats.org/officeDocument/2006/docPropsVTypes"/>
</file>