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b/>
          <w:bCs/>
          <w:color w:val="1B3A5C"/>
          <w:sz w:val="38"/>
          <w:szCs w:val="38"/>
        </w:rPr>
        <w:t xml:space="preserve">A Topology-Aware Framework for Intra-Urban</w:t>
      </w:r>
    </w:p>
    <w:p>
      <w:pPr>
        <w:spacing w:before="0" w:after="200"/>
        <w:jc w:val="center"/>
      </w:pPr>
      <w:r>
        <w:rPr>
          <w:b/>
          <w:bCs/>
          <w:color w:val="1B3A5C"/>
          <w:sz w:val="38"/>
          <w:szCs w:val="38"/>
        </w:rPr>
        <w:t xml:space="preserve">Transport Policy Targeting in Dhaka, Bangladesh</w:t>
      </w:r>
    </w:p>
    <w:p>
      <w:pPr>
        <w:pBdr>
          <w:bottom w:val="single" w:color="2563AB" w:sz="8" w:space="4"/>
        </w:pBdr>
        <w:spacing w:before="0" w:after="120"/>
        <w:jc w:val="center"/>
      </w:pPr>
      <w:r>
        <w:rPr>
          <w:b/>
          <w:bCs/>
          <w:color w:val="2563AB"/>
          <w:sz w:val="26"/>
          <w:szCs w:val="26"/>
        </w:rPr>
        <w:t xml:space="preserve">Findings, Results, and Methodological Evolution Report</w:t>
      </w:r>
    </w:p>
    <w:p>
      <w:pPr>
        <w:spacing w:before="120" w:after="400"/>
        <w:jc w:val="center"/>
      </w:pPr>
      <w:r>
        <w:rPr>
          <w:i/>
          <w:iCs/>
          <w:color w:val="5D6D7E"/>
          <w:sz w:val="22"/>
          <w:szCs w:val="22"/>
        </w:rPr>
        <w:t xml:space="preserve">A Four-Version Comparative Analysis of Road Network Topology Clustering</w:t>
      </w:r>
    </w:p>
    <w:p>
      <w:pPr>
        <w:spacing w:before="0" w:after="60"/>
        <w:jc w:val="center"/>
      </w:pPr>
      <w:r>
        <w:rPr>
          <w:b/>
          <w:bCs/>
          <w:color w:val="1B3A5C"/>
          <w:sz w:val="22"/>
          <w:szCs w:val="22"/>
        </w:rPr>
        <w:t xml:space="preserve">Mehzad Galib  |  Md. Sabbir Hossain</w:t>
      </w:r>
    </w:p>
    <w:p>
      <w:pPr>
        <w:spacing w:before="0" w:after="60"/>
        <w:jc w:val="center"/>
      </w:pPr>
      <w:r>
        <w:rPr>
          <w:color w:val="5D6D7E"/>
          <w:sz w:val="20"/>
          <w:szCs w:val="20"/>
        </w:rPr>
        <w:t xml:space="preserve">MSc. Data Science, Department of Computer Science and Engineering</w:t>
      </w:r>
    </w:p>
    <w:p>
      <w:pPr>
        <w:spacing w:before="0" w:after="60"/>
        <w:jc w:val="center"/>
      </w:pPr>
      <w:r>
        <w:rPr>
          <w:color w:val="5D6D7E"/>
          <w:sz w:val="20"/>
          <w:szCs w:val="20"/>
        </w:rPr>
        <w:t xml:space="preserve">Bangladesh University of Engineering and Technology (BUET)</w:t>
      </w:r>
    </w:p>
    <w:p>
      <w:pPr>
        <w:spacing w:before="0" w:after="600"/>
        <w:jc w:val="center"/>
      </w:pPr>
      <w:r>
        <w:rPr>
          <w:color w:val="5D6D7E"/>
          <w:sz w:val="20"/>
          <w:szCs w:val="20"/>
        </w:rPr>
        <w:t xml:space="preserve">February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563AB" w:sz="4"/>
              <w:left w:val="single" w:color="2563AB" w:sz="12"/>
              <w:bottom w:val="single" w:color="2563AB" w:sz="4"/>
              <w:right w:val="single" w:color="2563AB" w:sz="4"/>
            </w:tcBorders>
            <w:shd w:fill="EBF5FB" w:val="clear"/>
            <w:tcMar>
              <w:top w:type="dxa" w:w="140"/>
              <w:left w:type="dxa" w:w="200"/>
              <w:bottom w:type="dxa" w:w="140"/>
              <w:right w:type="dxa" w:w="200"/>
            </w:tcMar>
          </w:tcPr>
          <w:p>
            <w:pPr>
              <w:spacing w:before="60" w:after="60"/>
            </w:pPr>
            <w:r>
              <w:rPr>
                <w:b/>
                <w:bCs/>
                <w:color w:val="1B3A5C"/>
              </w:rPr>
              <w:t xml:space="preserve">Abstract</w:t>
            </w:r>
          </w:p>
          <w:p>
            <w:pPr>
              <w:spacing w:before="60" w:after="60"/>
            </w:pPr>
            <w:r>
              <w:t xml:space="preserve"/>
            </w:r>
          </w:p>
          <w:p>
            <w:pPr>
              <w:spacing w:before="100" w:after="100"/>
            </w:pPr>
            <w:r>
              <w:t xml:space="preserve">This report documents the findings and results of a four-version methodological audit of unsupervised road network topology classification applied to Dhaka Metropolitan Area, Bangladesh. Beginning from a direct application of the originally proposed pipeline (V1: 1 km grid, drive-only OSM network, Western archetype labelling), the study progressively corrected identified failures in data acquisition, feature engineering, and labelling strategy through three subsequent versions, including a spatial scale experiment using a 2 km grid (V4). Across all versions, K-Means clustering with </w:t>
            </w:r>
            <w:r>
              <w:rPr>
                <w:b/>
                <w:bCs/>
              </w:rPr>
              <w:t xml:space="preserve">k = 2</w:t>
            </w:r>
            <w:r>
              <w:t xml:space="preserve"> consistently produced the strongest silhouette scores. No configuration yielded the four-cluster archetype structure (Maze, Grid, Radial Corridor, Periphery) proposed in the original framework. Silhouette scores improved from 0.366 in V1 to 0.551 in V4. The persistent two-cluster result, despite progressively more rigorous methodology, is interpreted as a structural finding: Dhaka's road network exhibits a continuous morphological spectrum organized along a connectivity axis rather than discrete topology archetypes. This finding is situated within the transport policy context, compared against existing literature on South Asian urban morphology, and discussed in terms of limitations, alternative methods, and directions for future classification work.</w:t>
            </w:r>
          </w:p>
        </w:tc>
      </w:tr>
    </w:tbl>
    <w:p>
      <w:r>
        <w:br w:type="page"/>
      </w:r>
    </w:p>
    <w:p>
      <w:pPr>
        <w:pStyle w:val="Heading1"/>
        <w:pBdr>
          <w:bottom w:val="single" w:color="2563AB" w:sz="6" w:space="4"/>
        </w:pBdr>
        <w:spacing w:before="400" w:after="160"/>
      </w:pPr>
      <w:r>
        <w:rPr>
          <w:b/>
          <w:bCs/>
          <w:color w:val="1B3A5C"/>
          <w:sz w:val="32"/>
          <w:szCs w:val="32"/>
        </w:rPr>
        <w:t xml:space="preserve">1. Introduction</w:t>
      </w:r>
    </w:p>
    <w:p>
      <w:pPr>
        <w:spacing w:before="100" w:after="100"/>
      </w:pPr>
      <w:r>
        <w:t xml:space="preserve">Urban road network topology encodes the morphological history of a city. In cities of the Global North, this history has been sufficiently legible to support a well-established classification vocabulary: grid networks, radial-concentric patterns, organic mazes, and peripheral dendrites (Jiang &amp; Claramunt, 2004; Porta et al., 2006). These archetypes carry transport-policy implications. Grid zones support dispersed travel demand and regular bus routes. Radial corridors concentrate flow and suit trunk-and-feeder systems. Organic mazes resist motorised access and require non-motorised or micro-transit solutions.</w:t>
      </w:r>
    </w:p>
    <w:p>
      <w:pPr>
        <w:spacing w:before="100" w:after="100"/>
      </w:pPr>
      <w:r>
        <w:t xml:space="preserve">Dhaka, the capital of Bangladesh and one of the world's most densely populated megacities, presents a structurally different challenge. With a metropolitan population exceeding 22 million and road densities that locally exceed 25 km/km², the city has grown through 400 years of largely unplanned organic densification, punctuated by discontinuous RAJUK (Rajdhani Unnayan Kartripakkha) planned interventions at the neighbourhood scale (Islam, 2005; Mahmud, 2012). The coexistence of Moghul-era lane networks, post-independence planned sectors, river-radial development patterns, and informal agricultural-plot infill creates a morphological landscape that may not respond to standard Western classification frameworks.</w:t>
      </w:r>
    </w:p>
    <w:p>
      <w:pPr>
        <w:spacing w:before="100" w:after="100"/>
      </w:pPr>
      <w:r>
        <w:t xml:space="preserve">The original research proposal for this project sought to apply the topology classification framework to Dhaka's 1 km grid cells using 23 topological features derived from OpenStreetMap data, with K-Means clustering targeted at k = 4 corresponding to the four archetype types. The present report documents what actually happened across four progressively refined versions of this pipeline, explains why each version produced the results it did, and argues that the consistent two-cluster outcome constitutes a substantive empirical finding about the nature of Dhaka's urban morphology rather than a methodological failure.</w:t>
      </w:r>
    </w:p>
    <w:p>
      <w:pPr>
        <w:pStyle w:val="Heading1"/>
        <w:pBdr>
          <w:bottom w:val="single" w:color="2563AB" w:sz="6" w:space="4"/>
        </w:pBdr>
        <w:spacing w:before="400" w:after="160"/>
      </w:pPr>
      <w:r>
        <w:rPr>
          <w:b/>
          <w:bCs/>
          <w:color w:val="1B3A5C"/>
          <w:sz w:val="32"/>
          <w:szCs w:val="32"/>
        </w:rPr>
        <w:t xml:space="preserve">2. Original Proposed Methodology and Executed Deviations</w:t>
      </w:r>
    </w:p>
    <w:p>
      <w:pPr>
        <w:pStyle w:val="Heading2"/>
        <w:spacing w:before="280" w:after="100"/>
      </w:pPr>
      <w:r>
        <w:rPr>
          <w:b/>
          <w:bCs/>
          <w:color w:val="2563AB"/>
          <w:sz w:val="26"/>
          <w:szCs w:val="26"/>
        </w:rPr>
        <w:t xml:space="preserve">2.1 Original Proposed Approach</w:t>
      </w:r>
    </w:p>
    <w:p>
      <w:pPr>
        <w:spacing w:before="100" w:after="100"/>
      </w:pPr>
      <w:r>
        <w:t xml:space="preserve">The original proposal specified the following pipeline:</w:t>
      </w:r>
    </w:p>
    <w:p>
      <w:pPr>
        <w:pStyle w:val="ListParagraph"/>
        <w:numPr>
          <w:ilvl w:val="0"/>
          <w:numId w:val="2"/>
        </w:numPr>
        <w:spacing w:before="40" w:after="40"/>
      </w:pPr>
      <w:r>
        <w:t xml:space="preserve">Extract Dhaka's road network from OpenStreetMap using OSMnx within the bounding box 23.65°N–23.85°N, 90.25°E–90.45°E, using network_type='drive'</w:t>
      </w:r>
    </w:p>
    <w:p>
      <w:pPr>
        <w:pStyle w:val="ListParagraph"/>
        <w:numPr>
          <w:ilvl w:val="0"/>
          <w:numId w:val="2"/>
        </w:numPr>
        <w:spacing w:before="40" w:after="40"/>
      </w:pPr>
      <w:r>
        <w:t xml:space="preserve">Tile the study area with a 1 km × 1 km grid with an 800 m buffer per cell</w:t>
      </w:r>
    </w:p>
    <w:p>
      <w:pPr>
        <w:pStyle w:val="ListParagraph"/>
        <w:numPr>
          <w:ilvl w:val="0"/>
          <w:numId w:val="2"/>
        </w:numPr>
        <w:spacing w:before="40" w:after="40"/>
      </w:pPr>
      <w:r>
        <w:t xml:space="preserve">Compute 23 topological features per buffered zone subgraph</w:t>
      </w:r>
    </w:p>
    <w:p>
      <w:pPr>
        <w:pStyle w:val="ListParagraph"/>
        <w:numPr>
          <w:ilvl w:val="0"/>
          <w:numId w:val="2"/>
        </w:numPr>
        <w:spacing w:before="40" w:after="40"/>
      </w:pPr>
      <w:r>
        <w:t xml:space="preserve">Apply PCA dimensionality reduction (target: 95% explained variance)</w:t>
      </w:r>
    </w:p>
    <w:p>
      <w:pPr>
        <w:pStyle w:val="ListParagraph"/>
        <w:numPr>
          <w:ilvl w:val="0"/>
          <w:numId w:val="2"/>
        </w:numPr>
        <w:spacing w:before="40" w:after="40"/>
      </w:pPr>
      <w:r>
        <w:t xml:space="preserve">Apply K-Means clustering with k determined by silhouette, Calinski-Harabasz, and elbow criteria</w:t>
      </w:r>
    </w:p>
    <w:p>
      <w:pPr>
        <w:pStyle w:val="ListParagraph"/>
        <w:numPr>
          <w:ilvl w:val="0"/>
          <w:numId w:val="2"/>
        </w:numPr>
        <w:spacing w:before="40" w:after="40"/>
      </w:pPr>
      <w:r>
        <w:t xml:space="preserve">Label clusters using four pre-defined archetypes: Maze, Grid, Radial Corridor, Periphery</w:t>
      </w:r>
    </w:p>
    <w:p>
      <w:pPr>
        <w:spacing w:before="60" w:after="60"/>
      </w:pPr>
      <w:r>
        <w:t xml:space="preserve"/>
      </w:r>
    </w:p>
    <w:p>
      <w:pPr>
        <w:spacing w:before="100" w:after="100"/>
      </w:pPr>
      <w:r>
        <w:t xml:space="preserve">The proposal anticipated k = 4 as the dominant result, consistent with a preliminary pilot analysis on 50 zones, and expected PCA to retain approximately 94% of variance in two to three components.</w:t>
      </w:r>
    </w:p>
    <w:p>
      <w:pPr>
        <w:pStyle w:val="Heading2"/>
        <w:spacing w:before="280" w:after="100"/>
      </w:pPr>
      <w:r>
        <w:rPr>
          <w:b/>
          <w:bCs/>
          <w:color w:val="2563AB"/>
          <w:sz w:val="26"/>
          <w:szCs w:val="26"/>
        </w:rPr>
        <w:t xml:space="preserve">2.2 Methodological Deviations and Justifications</w:t>
      </w:r>
    </w:p>
    <w:p>
      <w:pPr>
        <w:spacing w:before="100" w:after="100"/>
      </w:pPr>
      <w:r>
        <w:t xml:space="preserve">Four significant deviations from the proposed methodology were made during execution, each motivated by identifiable failures in the preceding version: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Deviation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Original Approach</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Executed Approach</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Justification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Network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drive only</w:t>
            </w:r>
          </w:p>
        </w:tc>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before="60" w:after="60"/>
            </w:pPr>
            <w:r>
              <w:t xml:space="preserve">all roads (footpaths, lanes, service roads)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drive-only excluded Old Dhaka's defining goli lane network, misclassifying it as Grid due to sparse node counts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Bounding 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north = 23.85°N</w:t>
            </w:r>
          </w:p>
        </w:tc>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before="60" w:after="60"/>
            </w:pPr>
            <w:r>
              <w:t xml:space="preserve">north = 23.95°N (Uttara, Diabari included)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V1 truncated planned northern zones (Uttara DOHS), removing the clearest Grid-archetype areas from the dataset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Feature 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23 features including reciprocity and raw path length</w:t>
            </w:r>
          </w:p>
        </w:tc>
        <w:tc>
          <w:tcPr>
            <w:tcW w:type="dxa" w:w="2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before="60" w:after="60"/>
            </w:pPr>
            <w:r>
              <w:t xml:space="preserve">27 features: Gini corrected, reciprocity → orientation entropy, path length normalised, hub_dominance_ratio and wcc_fragmentation added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Gini formula produced negative values; reciprocity saturated at 0.98 across all zones (non-discriminating); raw path length had r = 0.86 correlation with node count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Labelling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Archetypes imposed by formula scoring</w:t>
            </w:r>
          </w:p>
        </w:tc>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V1–V2: archetypes imposed. V3–V4: data-driven neutral labels (Cluster_0 / Cluster_1)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Archetype assignment forced Western typologies onto patterns inconsistent with Dhaka's development history; removal tested whether structure was artefact of labelling</w:t>
            </w:r>
          </w:p>
        </w:tc>
      </w:tr>
    </w:tbl>
    <w:p>
      <w:pPr>
        <w:spacing w:before="60" w:after="60"/>
      </w:pPr>
      <w:r>
        <w:t xml:space="preserve"/>
      </w:r>
    </w:p>
    <w:p>
      <w:pPr>
        <w:pStyle w:val="Heading1"/>
        <w:pBdr>
          <w:bottom w:val="single" w:color="2563AB" w:sz="6" w:space="4"/>
        </w:pBdr>
        <w:spacing w:before="400" w:after="160"/>
      </w:pPr>
      <w:r>
        <w:rPr>
          <w:b/>
          <w:bCs/>
          <w:color w:val="1B3A5C"/>
          <w:sz w:val="32"/>
          <w:szCs w:val="32"/>
        </w:rPr>
        <w:t xml:space="preserve">3. Feature Definitions and Study-Context Interpretation</w:t>
      </w:r>
    </w:p>
    <w:p>
      <w:pPr>
        <w:spacing w:before="100" w:after="100"/>
      </w:pPr>
      <w:r>
        <w:t xml:space="preserve">Twenty-seven topological features were computed per zone across V2–V4 (V1 used 23 features, missing orientation_entropy, wcc_fragmentation, hub_dominance_ratio, path_length_p90_norm). Features fall into four functional groups.</w:t>
      </w:r>
    </w:p>
    <w:p>
      <w:pPr>
        <w:spacing w:before="60" w:after="60"/>
      </w:pPr>
      <w:r>
        <w:t xml:space="preserve"/>
      </w:r>
    </w:p>
    <w:p>
      <w:pPr>
        <w:pStyle w:val="Heading2"/>
        <w:spacing w:before="280" w:after="100"/>
      </w:pPr>
      <w:r>
        <w:rPr>
          <w:b/>
          <w:bCs/>
          <w:color w:val="2563AB"/>
          <w:sz w:val="26"/>
          <w:szCs w:val="26"/>
        </w:rPr>
        <w:t xml:space="preserve">3.1 Structural Topology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Feature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Definition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Dhaka Context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density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Ratio of observed edges to maximum possible edges in directed graph: m / [n(n–1)]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Planned RAJUK sectors show moderate-to-high density (regular intersections). Old Dhaka shows lower density despite more roads — many short-segment dead ends reduce the ratio.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transitivity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Fraction of open triads (connected triples) that close into triangles in the undirected graph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High transitivity indicates triangular road loops — characteristic of organic networks. Low values indicate tree-like or grid structures with few diagonal connections.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avg_clustering_coef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Mean local clustering coefficient across all nodes — probability that a node's neighbours are connected to each other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Similar interpretation to transitivity but computed locally. Distinguishes between zones where high connectivity is uniformly distributed vs. concentrated at a few hubs.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avg_degree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Mean number of edges per node across both in- and out-degree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Planned grids (4-way intersections) typically show avg_degree ≈ 4. Organic networks with many dead-ends show lower values; radial hubs show higher values at convergence points.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n_scc / n_wcc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Number of strongly connected components (directed paths both ways) and weakly connected components (undirected connectivity)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High SCC count indicates many one-way flow loops — characteristic of formal traffic management in planned zones. High WCC count indicates spatial fragmentation — rivers, walls, railways creating isolated sub-networks.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gscc_pct / gwcc_pct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Percentage of nodes in the largest strongly/weakly connected component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Low gwcc_pct is the key indicator of peripheral zones where infrastructure is incomplete. Old Dhaka has high gwcc_pct despite complexity — the lane network is thoroughly interconnected.</w:t>
            </w:r>
          </w:p>
        </w:tc>
      </w:tr>
    </w:tbl>
    <w:p>
      <w:pPr>
        <w:spacing w:before="60" w:after="60"/>
      </w:pPr>
      <w:r>
        <w:t xml:space="preserve"/>
      </w:r>
    </w:p>
    <w:p>
      <w:pPr>
        <w:pStyle w:val="Heading2"/>
        <w:spacing w:before="280" w:after="100"/>
      </w:pPr>
      <w:r>
        <w:rPr>
          <w:b/>
          <w:bCs/>
          <w:color w:val="2563AB"/>
          <w:sz w:val="26"/>
          <w:szCs w:val="26"/>
        </w:rPr>
        <w:t xml:space="preserve">3.2 Features Introduced in V2 (Methodological Corrections)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Feature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Definition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Why Introduced / What it Measures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orientation_entropy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Shannon entropy of the distribution of street bearing angles (36 bins of 10° each, folded to 0–180°). H = –Σ p_i log₂ p_i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Replaces reciprocity, which was saturated at 0.98 across all zones (a structural property of projected road graphs, not topology). Planned grids (Uttara, Gulshan) exhibit two dominant bearing clusters ~90° apart → low entropy. Organic networks (Old Dhaka) have bearings spread across 180° → high entropy. Expected to be the primary discriminator between planned and organic zones.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wcc_fragmentation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Ratio of WCC count to node count: n_wcc / 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Detects peripheral zones where incomplete road construction leaves many isolated sub-networks. A zone of 500 nodes with 40 WCCs is deeply fragmented; a zone of 500 nodes with 2 WCCs is well-connected. Designed to identify the Periphery archetype.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hub_dominance_ratio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Ratio of maximum in-degree to mean in-degree within the LCC: max_in_degree / mean_in_degree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Detects radial topology: a star-shaped network where many roads converge on a single hub produces a very high ratio. Planned roundabout-centred zones (Farmgate, Motijheel intersections) show elevated values. Designed to identify the Radial Corridor archetype.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path_length_p90_norm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90th percentile shortest path length divided by √(node_count)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Corrects the raw path length measure which had r = 0.86 correlation with node count (larger zones trivially have longer paths). Normalisation removes the size confound. Measures how efficiently paths distribute across the network independent of zone size.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betweenness_gini (corrected)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Gini coefficient of the betweenness centrality distribution, computed via the correct pairwise absolute-difference formula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V1 used a broken formula that produced negative values. Corrected to G = Σ|x_i – x_j| / [2n·Σx_i] ∈ [0,1]. High Gini means a few nodes carry most of the flow — characteristic of bottleneck-heavy organic networks. Low Gini means uniform flow distribution — characteristic of grids.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mean_strength_norm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Mean node strength (sum of adjacent edge weights) normalised by mean edge weight times LCC node 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Replaces raw mean_strength which scaled with zone size. The normalised version captures the relative weight-loading per node independent of how large the zone is.</w:t>
            </w:r>
          </w:p>
        </w:tc>
      </w:tr>
    </w:tbl>
    <w:p>
      <w:pPr>
        <w:spacing w:before="60" w:after="60"/>
      </w:pPr>
      <w:r>
        <w:t xml:space="preserve"/>
      </w:r>
    </w:p>
    <w:p>
      <w:pPr>
        <w:pStyle w:val="Heading2"/>
        <w:spacing w:before="280" w:after="100"/>
      </w:pPr>
      <w:r>
        <w:rPr>
          <w:b/>
          <w:bCs/>
          <w:color w:val="2563AB"/>
          <w:sz w:val="26"/>
          <w:szCs w:val="26"/>
        </w:rPr>
        <w:t xml:space="preserve">3.3 Centrality Features</w:t>
      </w:r>
    </w:p>
    <w:p>
      <w:pPr>
        <w:spacing w:before="100" w:after="100"/>
      </w:pPr>
      <w:r>
        <w:t xml:space="preserve">Six centrality measures were computed on the Largest Connected Component (LCC) to ensure disconnected subgraphs did not distort averages. All are inherently size-normalised by NetworkX (reported as fractions of maximum possible values).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Feature</w:t>
            </w:r>
          </w:p>
        </w:tc>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Interpretation in Urban Network Context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mean_closeness_centrality</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How quickly each node can reach all others. High values indicate well-positioned nodes relative to the whole network — characteristic of grid zones where all nodes are equidistant from the network centre.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mean_betweenness_centrality</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Fraction of shortest paths passing through each node. High values with high Gini = concentrated chokepoints. Organic networks in Dhaka show this pattern: a few bazaar intersections (e.g. Nawabpur Road, Elephant Road) carry disproportionate flow.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mean_katz_centrality</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A convergent alternative to eigenvector centrality (which failed frequently on directed graphs). Measures influence propagation through the network — high values indicate structurally central nodes. Used because eigenvector centrality threw convergence errors on ~12% of Dhaka zones.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mean_pagerank</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Google's PageRank adapted to road networks: probability of arriving at a node by following random edges. High PageRank nodes are the'preferred' destinations of random walks — often major junctions in organic networks.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global_efficiency</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Average reciprocal shortest path length across all node pairs: (1/n(n–1)) Σ 1/d(u,v). Measures how efficiently information/flow traverses the entire network. Planned grids show high efficiency; fragmented peripheral zones show very low efficiency.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local_efficiency</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Average global efficiency of each node's direct neighbourhood. Measures fault tolerance — how well the local area remains connected if a node is removed. High local efficiency is associated with redundant routing options.</w:t>
            </w:r>
          </w:p>
        </w:tc>
      </w:tr>
    </w:tbl>
    <w:p>
      <w:pPr>
        <w:spacing w:before="60" w:after="60"/>
      </w:pPr>
      <w:r>
        <w:t xml:space="preserve"/>
      </w:r>
    </w:p>
    <w:p>
      <w:r>
        <w:br w:type="page"/>
      </w:r>
    </w:p>
    <w:p>
      <w:pPr>
        <w:pStyle w:val="Heading1"/>
        <w:pBdr>
          <w:bottom w:val="single" w:color="2563AB" w:sz="6" w:space="4"/>
        </w:pBdr>
        <w:spacing w:before="400" w:after="160"/>
      </w:pPr>
      <w:r>
        <w:rPr>
          <w:b/>
          <w:bCs/>
          <w:color w:val="1B3A5C"/>
          <w:sz w:val="32"/>
          <w:szCs w:val="32"/>
        </w:rPr>
        <w:t xml:space="preserve">4. Results</w:t>
      </w:r>
    </w:p>
    <w:p>
      <w:pPr>
        <w:pStyle w:val="Heading2"/>
        <w:spacing w:before="280" w:after="100"/>
      </w:pPr>
      <w:r>
        <w:rPr>
          <w:b/>
          <w:bCs/>
          <w:color w:val="2563AB"/>
          <w:sz w:val="26"/>
          <w:szCs w:val="26"/>
        </w:rPr>
        <w:t xml:space="preserve">4.1 Version 1: Baseline — 1 km Grid, Drive Network, Imposed Archetypes</w:t>
      </w:r>
    </w:p>
    <w:p>
      <w:pPr>
        <w:pStyle w:val="Heading3"/>
        <w:spacing w:before="200" w:after="80"/>
      </w:pPr>
      <w:r>
        <w:rPr>
          <w:b/>
          <w:bCs/>
          <w:color w:val="5D6D7E"/>
          <w:sz w:val="22"/>
          <w:szCs w:val="22"/>
        </w:rPr>
        <w:t xml:space="preserve">4.1.1 Configuration and Intent</w:t>
      </w:r>
    </w:p>
    <w:p>
      <w:pPr>
        <w:spacing w:before="100" w:after="100"/>
      </w:pPr>
      <w:r>
        <w:t xml:space="preserve">V1 implemented the methodology as specified in the original proposal without modification. The study area was bounded by 23.65°N–23.85°N, 90.25°E–90.45°E, and the OSMnx network_type='drive' parameter was used, extracting only road segments legally traversable by motor vehicles according to OSM tags. This yielded a 1 km × 1 km grid with an 800 m buffer per cell. Features were computed using the original 23-feature set. Cluster labels were assigned by scoring each K-Means cluster against four archetype profiles (Maze, Grid, Radial Corridor, Periphery) and selecting the nearest match. The best-k selection used Silhouette and Calinski-Harabasz criteria.</w:t>
      </w:r>
    </w:p>
    <w:p>
      <w:pPr>
        <w:pStyle w:val="Heading3"/>
        <w:spacing w:before="200" w:after="80"/>
      </w:pPr>
      <w:r>
        <w:rPr>
          <w:b/>
          <w:bCs/>
          <w:color w:val="5D6D7E"/>
          <w:sz w:val="22"/>
          <w:szCs w:val="22"/>
        </w:rPr>
        <w:t xml:space="preserve">4.1.2 Numerical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Metric</w:t>
            </w:r>
          </w:p>
        </w:tc>
        <w:tc>
          <w:tcPr>
            <w:tcW w:type="dxa" w:w="31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Maze Cluster</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Grid Cluster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Zone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266 (56.7%)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203 (43.3%)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confidence score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0.761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0.709</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node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719.3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77.0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node count ratio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 fewer than Maze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density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0.0053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0.0390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gwcc_pct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93.2%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82.7%</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global efficiency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0.088</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0.238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closeness centrality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0.165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betweenness centrality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0.035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0.112</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67"/>
        <w:gridCol w:w="2067"/>
        <w:gridCol w:w="206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Algorithm</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Silhouette</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Clusters Found</w:t>
            </w:r>
          </w:p>
        </w:tc>
        <w:tc>
          <w:tcPr>
            <w:tcW w:type="dxa" w:w="206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K-Means</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0.366</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 (best k)</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Selected k=2; k=4 had silhouette 0.238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DBSCAN</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–1.000</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Collapsed — no density-based separation in feature space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GMM</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0.163</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5</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Poor internal coherence</w:t>
            </w:r>
          </w:p>
        </w:tc>
      </w:tr>
    </w:tbl>
    <w:p>
      <w:pPr>
        <w:spacing w:before="60" w:after="60"/>
      </w:pPr>
      <w:r>
        <w:t xml:space="preserve"/>
      </w:r>
    </w:p>
    <w:p>
      <w:pPr>
        <w:pStyle w:val="Heading3"/>
        <w:spacing w:before="200" w:after="80"/>
      </w:pPr>
      <w:r>
        <w:rPr>
          <w:b/>
          <w:bCs/>
          <w:color w:val="5D6D7E"/>
          <w:sz w:val="22"/>
          <w:szCs w:val="22"/>
        </w:rPr>
        <w:t xml:space="preserve">4.1.3 Interpretation and Identified Failures</w:t>
      </w:r>
    </w:p>
    <w:p>
      <w:pPr>
        <w:spacing w:before="100" w:after="100"/>
      </w:pPr>
      <w:r>
        <w:t xml:space="preserve">The V1 feature heatmap showed a perfectly binary pattern: every single feature was at its maximum value for one cluster and minimum for the other, with no gradient values. This is a diagnostic signature of a single dominant confounding variable overwhelming all others in feature space.</w:t>
      </w:r>
    </w:p>
    <w:p>
      <w:pPr>
        <w:spacing w:before="100" w:after="100"/>
      </w:pPr>
      <w:r>
        <w:t xml:space="preserve">The critical evidence is the node count gap: Maze zones had a mean of 719 nodes while Grid zones had a mean of only 77 — a 9.3× difference. This is inverted from what urban morphology would predict: Old Dhaka's organic lane network should have more nodes than Uttara's planned blocks, not fewer. The inversion occurred because network_type='drive' excluded Old Dhaka's goli lanes (rickshaw-accessible, not legally drivable) while capturing all of Uttara's uniform grid streets. The clustering therefore measured OSM coverage anisotropy by road classification, not urban morphology.</w:t>
      </w:r>
    </w:p>
    <w:p>
      <w:pPr>
        <w:spacing w:before="100" w:after="100"/>
      </w:pPr>
      <w:r>
        <w:t xml:space="preserve">Additionally, the bounding box truncated at 23.85°N, excluding Uttara DOHS, the clearest planned Grid-archetype area in Dhaka. The resulting "Grid" cluster was composed primarily of peri-urban fringe zones (Keraniganj, Savar edge) with sparse drive-network coverage — the opposite of the intended grid archetype.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392B" w:sz="4"/>
              <w:left w:val="single" w:color="C0392B" w:sz="12"/>
              <w:bottom w:val="single" w:color="C0392B" w:sz="4"/>
              <w:right w:val="single" w:color="C0392B" w:sz="4"/>
            </w:tcBorders>
            <w:shd w:fill="FDEDEC" w:val="clear"/>
            <w:tcMar>
              <w:top w:type="dxa" w:w="140"/>
              <w:left w:type="dxa" w:w="200"/>
              <w:bottom w:type="dxa" w:w="140"/>
              <w:right w:type="dxa" w:w="200"/>
            </w:tcMar>
          </w:tcPr>
          <w:p>
            <w:pPr>
              <w:spacing w:before="60" w:after="60"/>
            </w:pPr>
            <w:r>
              <w:rPr>
                <w:b/>
                <w:bCs/>
                <w:color w:val="C0392B"/>
              </w:rPr>
              <w:t xml:space="preserve">V1 core diagnosis: </w:t>
            </w:r>
            <w:r>
              <w:t xml:space="preserve">The algorithm correctly found k=2 and correctly identified two topologically distinct groups. However, the groups corresponded to OSM data completeness by road classification rather than urban morphological types. The label "Grid" was assigned to sparse-periphery zones and "Maze" to dense-core zones — both assignments inverted from ground truth.</w:t>
            </w:r>
          </w:p>
        </w:tc>
      </w:tr>
    </w:tbl>
    <w:p>
      <w:pPr>
        <w:spacing w:before="60" w:after="60"/>
      </w:pPr>
      <w:r>
        <w:t xml:space="preserve"/>
      </w:r>
    </w:p>
    <w:p>
      <w:pPr>
        <w:pStyle w:val="Heading2"/>
        <w:spacing w:before="280" w:after="100"/>
      </w:pPr>
      <w:r>
        <w:rPr>
          <w:b/>
          <w:bCs/>
          <w:color w:val="2563AB"/>
          <w:sz w:val="26"/>
          <w:szCs w:val="26"/>
        </w:rPr>
        <w:t xml:space="preserve">4.2 Version 2: Corrected Network and Feature Engineering — 1 km Grid, All Roads</w:t>
      </w:r>
    </w:p>
    <w:p>
      <w:pPr>
        <w:pStyle w:val="Heading3"/>
        <w:spacing w:before="200" w:after="80"/>
      </w:pPr>
      <w:r>
        <w:rPr>
          <w:b/>
          <w:bCs/>
          <w:color w:val="5D6D7E"/>
          <w:sz w:val="22"/>
          <w:szCs w:val="22"/>
        </w:rPr>
        <w:t xml:space="preserve">4.2.1 Configuration and Intent</w:t>
      </w:r>
    </w:p>
    <w:p>
      <w:pPr>
        <w:spacing w:before="100" w:after="100"/>
      </w:pPr>
      <w:r>
        <w:t xml:space="preserve">V2 corrected the four most critical failures identified in V1. The network type was changed to 'all', expanding the study area to north=23.95°N to include Uttara, and eight feature-level bugs were fixed. The archetype labelling system was retained but now operated on a corrected 27-feature vector. The intent was to test whether the V1 result was an artefact of the drive-only extraction — if so, V2 with corrected data should produce four meaningful clusters or at least a geographically coherent two-cluster pattern.</w:t>
      </w:r>
    </w:p>
    <w:p>
      <w:pPr>
        <w:pStyle w:val="Heading3"/>
        <w:spacing w:before="200" w:after="80"/>
      </w:pPr>
      <w:r>
        <w:rPr>
          <w:b/>
          <w:bCs/>
          <w:color w:val="5D6D7E"/>
          <w:sz w:val="22"/>
          <w:szCs w:val="22"/>
        </w:rPr>
        <w:t xml:space="preserve">4.2.2 Numerical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Metric</w:t>
            </w:r>
          </w:p>
        </w:tc>
        <w:tc>
          <w:tcPr>
            <w:tcW w:type="dxa" w:w="31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Maze Cluster (V2)</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Grid Cluster (V2)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Zone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650 (79.2%)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171 (20.8%)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confidence score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0.795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0.676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node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463.8</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47.0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Orientation entropy (new)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3.557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3.502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wcc_fragmentation (new)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0.021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0.109</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hub_dominance_ratio (new)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1.676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1.620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path_length_p90_norm (new)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1.341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1.352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betweenness_gini (corrected)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0.665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0.566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global efficiency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0.116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0.303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gwcc_pct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92.1%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73.6%</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67"/>
        <w:gridCol w:w="2067"/>
        <w:gridCol w:w="206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Algorithm</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Silhouette</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Clusters</w:t>
            </w:r>
          </w:p>
        </w:tc>
        <w:tc>
          <w:tcPr>
            <w:tcW w:type="dxa" w:w="206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vs V1</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K-Means</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0.420</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 +0.054 improvement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DBSCAN</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–1.000</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Unchanged — still no density separation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GMM</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0.049</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6</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Worse coherence — more zones amplified noise</w:t>
            </w:r>
          </w:p>
        </w:tc>
      </w:tr>
    </w:tbl>
    <w:p>
      <w:pPr>
        <w:spacing w:before="60" w:after="60"/>
      </w:pPr>
      <w:r>
        <w:t xml:space="preserve"/>
      </w:r>
    </w:p>
    <w:p>
      <w:pPr>
        <w:pStyle w:val="Heading3"/>
        <w:spacing w:before="200" w:after="80"/>
      </w:pPr>
      <w:r>
        <w:rPr>
          <w:b/>
          <w:bCs/>
          <w:color w:val="5D6D7E"/>
          <w:sz w:val="22"/>
          <w:szCs w:val="22"/>
        </w:rPr>
        <w:t xml:space="preserve">4.2.3 Interpretation</w:t>
      </w:r>
    </w:p>
    <w:p>
      <w:pPr>
        <w:spacing w:before="100" w:after="100"/>
      </w:pPr>
      <w:r>
        <w:t xml:space="preserve">V2 produced 821 zones — 75% more than V1 — reflecting the substantially larger all-roads network. The silhouette score improved from 0.366 to 0.420, confirming that the corrected network yielded more internally coherent clusters. The zone count split shifted to 79%/21%, more consistent with what would be expected if the majority of Dhaka is organically structured.</w:t>
      </w:r>
    </w:p>
    <w:p>
      <w:pPr>
        <w:spacing w:before="100" w:after="100"/>
      </w:pPr>
      <w:r>
        <w:t xml:space="preserve">However, three critical observations emerged. First, the newly introduced orientation_entropy was essentially identical between clusters: 3.502 (Grid) vs. 3.557 (Maze), a difference of 0.055 — statistically negligible. The feature designed as the primary planned/organic discriminator failed entirely to discriminate. This failure was traced to Dhaka's specific urban geometry: even planned zones like Dhanmondi have high orientation entropy because the lake perimeter forces curved roads in multiple directions. Second, the wcc_fragmentation did show useful separation (0.021 Maze vs. 0.109 Grid), confirming that the "Grid" cluster was actually a fragmentation cluster — peripheral zones with many disconnected road segments rather than planned grid areas. Third, the hub_dominance_ratio was nearly identical between clusters (1.676 vs. 1.620), failing to identify any radial topology.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68910" w:sz="4"/>
              <w:left w:val="single" w:color="D68910" w:sz="12"/>
              <w:bottom w:val="single" w:color="D68910" w:sz="4"/>
              <w:right w:val="single" w:color="D68910" w:sz="4"/>
            </w:tcBorders>
            <w:shd w:fill="FEF9E7" w:val="clear"/>
            <w:tcMar>
              <w:top w:type="dxa" w:w="140"/>
              <w:left w:type="dxa" w:w="200"/>
              <w:bottom w:type="dxa" w:w="140"/>
              <w:right w:type="dxa" w:w="200"/>
            </w:tcMar>
          </w:tcPr>
          <w:p>
            <w:pPr>
              <w:spacing w:before="60" w:after="60"/>
            </w:pPr>
            <w:r>
              <w:rPr>
                <w:b/>
                <w:bCs/>
                <w:color w:val="D68910"/>
              </w:rPr>
              <w:t xml:space="preserve">V2 core diagnosis: </w:t>
            </w:r>
            <w:r>
              <w:t xml:space="preserve">Fixing the network type and feature engineering produced a more statistically robust two-cluster result, but the two clusters corresponded to high-connectivity zones (large, well-connected organic networks) and low-connectivity fragmented zones (peripheral or sparse areas), not to the four morphological archetypes. The corrected orientation entropy feature failed as a discriminator due to Dhaka-specific geometric properties.</w:t>
            </w:r>
          </w:p>
        </w:tc>
      </w:tr>
    </w:tbl>
    <w:p>
      <w:pPr>
        <w:spacing w:before="60" w:after="60"/>
      </w:pPr>
      <w:r>
        <w:t xml:space="preserve"/>
      </w:r>
    </w:p>
    <w:p>
      <w:pPr>
        <w:pStyle w:val="Heading2"/>
        <w:spacing w:before="280" w:after="100"/>
      </w:pPr>
      <w:r>
        <w:rPr>
          <w:b/>
          <w:bCs/>
          <w:color w:val="2563AB"/>
          <w:sz w:val="26"/>
          <w:szCs w:val="26"/>
        </w:rPr>
        <w:t xml:space="preserve">4.3 Version 3: Data-Driven Labelling — 1 km Grid, All Roads, Neutral Clusters</w:t>
      </w:r>
    </w:p>
    <w:p>
      <w:pPr>
        <w:pStyle w:val="Heading3"/>
        <w:spacing w:before="200" w:after="80"/>
      </w:pPr>
      <w:r>
        <w:rPr>
          <w:b/>
          <w:bCs/>
          <w:color w:val="5D6D7E"/>
          <w:sz w:val="22"/>
          <w:szCs w:val="22"/>
        </w:rPr>
        <w:t xml:space="preserve">4.3.1 Configuration and Intent</w:t>
      </w:r>
    </w:p>
    <w:p>
      <w:pPr>
        <w:spacing w:before="100" w:after="100"/>
      </w:pPr>
      <w:r>
        <w:t xml:space="preserve">V3 retained the identical network, feature set, clustering algorithm, and spatial grid as V2. The sole change was the removal of the archetype labelling system. Instead of assigning "Maze" or "Grid" by formula scoring against Western archetypes, clusters were assigned neutral identifiers (Cluster_0, Cluster_1) and interpreted purely from their feature profiles. The intent was to test whether the two-cluster result was an artefact of the binary labelling system — if so, removing the system and allowing finer k-means partitioning would reveal the true structure.</w:t>
      </w:r>
    </w:p>
    <w:p>
      <w:pPr>
        <w:pStyle w:val="Heading3"/>
        <w:spacing w:before="200" w:after="80"/>
      </w:pPr>
      <w:r>
        <w:rPr>
          <w:b/>
          <w:bCs/>
          <w:color w:val="5D6D7E"/>
          <w:sz w:val="22"/>
          <w:szCs w:val="22"/>
        </w:rPr>
        <w:t xml:space="preserve">4.3.2 Numerical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Metric</w:t>
            </w:r>
          </w:p>
        </w:tc>
        <w:tc>
          <w:tcPr>
            <w:tcW w:type="dxa" w:w="3100"/>
            <w:tcBorders>
              <w:top w:val="single" w:color="CCCCCC" w:sz="1"/>
              <w:left w:val="single" w:color="CCCCCC" w:sz="1"/>
              <w:bottom w:val="single" w:color="CCCCCC" w:sz="1"/>
              <w:right w:val="single" w:color="CCCCCC" w:sz="1"/>
            </w:tcBorders>
            <w:shd w:fill="2563AB" w:val="clear"/>
            <w:tcMar>
              <w:top w:type="dxa" w:w="80"/>
              <w:left w:type="dxa" w:w="120"/>
              <w:bottom w:type="dxa" w:w="80"/>
              <w:right w:type="dxa" w:w="120"/>
            </w:tcMar>
          </w:tcPr>
          <w:p>
            <w:pPr>
              <w:jc w:val="center"/>
            </w:pPr>
            <w:r>
              <w:rPr>
                <w:b/>
                <w:bCs/>
                <w:color w:val="FFFFFF"/>
                <w:sz w:val="18"/>
                <w:szCs w:val="18"/>
              </w:rPr>
              <w:t xml:space="preserve">Cluster_0 (High-Connectivity)</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Cluster_1 (Dense-Organic)</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Zone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184 (22.2%)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643 (77.8%)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confidence score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0.675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0.795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node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51.6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544.3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Orientation entropy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3.560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3.580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wcc_fragmentation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0.099</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hub_dominance_ratio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1.641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1.716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betweenness_gini</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0.574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0.675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global efficiency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0.286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0.108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gwcc_pct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75.9%</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92.7%</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transitivity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0.067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0.040</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67"/>
        <w:gridCol w:w="2067"/>
        <w:gridCol w:w="206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Algorithm</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Silhouette</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Clusters</w:t>
            </w:r>
          </w:p>
        </w:tc>
        <w:tc>
          <w:tcPr>
            <w:tcW w:type="dxa" w:w="206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vs V2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K-Means</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0.408</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 –0.012 (marginal — 6 more zones from rerun)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DBSCAN</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–1.000</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Unchanged — third consecutive collapse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GMM</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0.046</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6</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Slightly worse coherence</w:t>
            </w:r>
          </w:p>
        </w:tc>
      </w:tr>
    </w:tbl>
    <w:p>
      <w:pPr>
        <w:spacing w:before="60" w:after="60"/>
      </w:pPr>
      <w:r>
        <w:t xml:space="preserve"/>
      </w:r>
    </w:p>
    <w:p>
      <w:pPr>
        <w:pStyle w:val="Heading3"/>
        <w:spacing w:before="200" w:after="80"/>
      </w:pPr>
      <w:r>
        <w:rPr>
          <w:b/>
          <w:bCs/>
          <w:color w:val="5D6D7E"/>
          <w:sz w:val="22"/>
          <w:szCs w:val="22"/>
        </w:rPr>
        <w:t xml:space="preserve">4.3.3 Interpretation</w:t>
      </w:r>
    </w:p>
    <w:p>
      <w:pPr>
        <w:spacing w:before="100" w:after="100"/>
      </w:pPr>
      <w:r>
        <w:t xml:space="preserve">V3's 827 zones (six more than V2, from a rerun with marginally different cached graph state) produced results statistically indistinguishable from V2. The archetype removal produced no change in cluster structure: the same k=2, the same ~78%/22% split, the same connectivity-axis separation. The feature heatmap showed the same binary pattern as V2 with Cluster_0 and Cluster_1 inverting across all features.</w:t>
      </w:r>
    </w:p>
    <w:p>
      <w:pPr>
        <w:spacing w:before="100" w:after="100"/>
      </w:pPr>
      <w:r>
        <w:t xml:space="preserve">The cluster profiles are now interpretable without archetype labels. Cluster_0 (22.2% of zones) represents high-connectivity, fragmented peripheral zones: lower global efficiency (0.286) relative to Cluster_1 at the local level but significantly lower gwcc_pct (75.9%), indicating many isolated components. These zones correspond spatially to the periphery of the metropolitan area — Keraniganj, Savar edge, Tongi fringe — where road construction is incomplete. Cluster_1 (77.8%) represents the dense, connected urban core: very high gwcc_pct (92.7%), high betweenness Gini (0.675 — few critical junction bottlenecks), and high hub_dominance_ratio (1.716 — some convergence topology present).</w:t>
      </w:r>
    </w:p>
    <w:p>
      <w:pPr>
        <w:spacing w:before="100" w:after="100"/>
      </w:pPr>
      <w:r>
        <w:t xml:space="preserve">The persistent failure of orientation_entropy to discriminate (3.56 vs. 3.58) confirmed that this feature, while theoretically well-motivated, does not function as a planned/organic separator in Dhaka's specific geometric context. The reason is structural: most of Dhaka's informal lane networks follow the irregular edges of historical land parcels, which in aggregate produce a moderately high entropy comparable to the lake-perimeter curvature of planned zones like Dhanmondi.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563AB" w:sz="4"/>
              <w:left w:val="single" w:color="2563AB" w:sz="12"/>
              <w:bottom w:val="single" w:color="2563AB" w:sz="4"/>
              <w:right w:val="single" w:color="2563AB" w:sz="4"/>
            </w:tcBorders>
            <w:shd w:fill="EBF5FB" w:val="clear"/>
            <w:tcMar>
              <w:top w:type="dxa" w:w="140"/>
              <w:left w:type="dxa" w:w="200"/>
              <w:bottom w:type="dxa" w:w="140"/>
              <w:right w:type="dxa" w:w="200"/>
            </w:tcMar>
          </w:tcPr>
          <w:p>
            <w:pPr>
              <w:spacing w:before="60" w:after="60"/>
            </w:pPr>
            <w:r>
              <w:rPr>
                <w:b/>
                <w:bCs/>
                <w:color w:val="2563AB"/>
              </w:rPr>
              <w:t xml:space="preserve">V3 core finding: </w:t>
            </w:r>
            <w:r>
              <w:t xml:space="preserve">Removing Western archetype labels produced no change in cluster structure, confirming that the two-cluster result is not an artefact of the labelling system. The persistent two clusters represent a connectivity spectrum (high-connectivity dense core vs. low-connectivity peripheral fringe) that is real and structurally coherent, but does not correspond to morphological archetypes.</w:t>
            </w:r>
          </w:p>
        </w:tc>
      </w:tr>
    </w:tbl>
    <w:p>
      <w:pPr>
        <w:spacing w:before="60" w:after="60"/>
      </w:pPr>
      <w:r>
        <w:t xml:space="preserve"/>
      </w:r>
    </w:p>
    <w:p>
      <w:pPr>
        <w:pStyle w:val="Heading2"/>
        <w:spacing w:before="280" w:after="100"/>
      </w:pPr>
      <w:r>
        <w:rPr>
          <w:b/>
          <w:bCs/>
          <w:color w:val="2563AB"/>
          <w:sz w:val="26"/>
          <w:szCs w:val="26"/>
        </w:rPr>
        <w:t xml:space="preserve">4.4 Version 4: Scale Experiment — 2 km Grid, All Roads, Data-Driven</w:t>
      </w:r>
    </w:p>
    <w:p>
      <w:pPr>
        <w:pStyle w:val="Heading3"/>
        <w:spacing w:before="200" w:after="80"/>
      </w:pPr>
      <w:r>
        <w:rPr>
          <w:b/>
          <w:bCs/>
          <w:color w:val="5D6D7E"/>
          <w:sz w:val="22"/>
          <w:szCs w:val="22"/>
        </w:rPr>
        <w:t xml:space="preserve">4.4.1 Configuration and Intent</w:t>
      </w:r>
    </w:p>
    <w:p>
      <w:pPr>
        <w:spacing w:before="100" w:after="100"/>
      </w:pPr>
      <w:r>
        <w:t xml:space="preserve">V4 tested the hypothesis that the 1 km grid cell lies between Dhaka's two meaningful morphological scales (micro block structure at 100–300 m, neighbourhood coherence at 3–5 km), causing every cell to contain a similar mixture of planned skeleton and organic infill. Increasing the cell size to 2 km × 2 km (with a proportionally scaled 1,200 m buffer) was expected to approach the neighbourhood scale, potentially allowing genuinely different neighbourhoods (Uttara, Old Dhaka, Mirpur) to fall within single cells and produce more distinct cluster signatures. The same OSMnx all-roads network, 27-feature set, and data-driven labelling from V3 were retained.</w:t>
      </w:r>
    </w:p>
    <w:p>
      <w:pPr>
        <w:pStyle w:val="Heading3"/>
        <w:spacing w:before="200" w:after="80"/>
      </w:pPr>
      <w:r>
        <w:rPr>
          <w:b/>
          <w:bCs/>
          <w:color w:val="5D6D7E"/>
          <w:sz w:val="22"/>
          <w:szCs w:val="22"/>
        </w:rPr>
        <w:t xml:space="preserve">4.4.2 Numerical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Metric</w:t>
            </w:r>
          </w:p>
        </w:tc>
        <w:tc>
          <w:tcPr>
            <w:tcW w:type="dxa" w:w="31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Cluster_0 (Dense Urban Core)</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Cluster_1 (Sparse Peripheral)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Zone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206 (91.2%)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20 (8.8%)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confidence score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0.690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0.548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node count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1,264.7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83.8</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Orientation entropy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3.700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3.650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wcc_fragmentation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0.014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0.089</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hub_dominance_ratio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1.784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1.632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betweenness_gini</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0.716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0.596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global efficiency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0.079</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0.255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gwcc_pct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93.6%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61.4%</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transitivity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0.042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avg_degree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4.871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4.044</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67"/>
        <w:gridCol w:w="2067"/>
        <w:gridCol w:w="206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Algorithm</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Silhouette</w:t>
            </w:r>
          </w:p>
        </w:tc>
        <w:tc>
          <w:tcPr>
            <w:tcW w:type="dxa" w:w="206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Clusters</w:t>
            </w:r>
          </w:p>
        </w:tc>
        <w:tc>
          <w:tcPr>
            <w:tcW w:type="dxa" w:w="206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vs V3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K-Means</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0.551</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 +0.143 — largest single-version jump</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DBSCAN</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–1.000</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Fourth consecutive collapse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GMM</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0.111</w:t>
            </w:r>
          </w:p>
        </w:tc>
        <w:tc>
          <w:tcPr>
            <w:tcW w:type="dxa" w:w="206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4</w:t>
            </w:r>
          </w:p>
        </w:tc>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Slightly improved but still poor coherence</w:t>
            </w:r>
          </w:p>
        </w:tc>
      </w:tr>
    </w:tbl>
    <w:p>
      <w:pPr>
        <w:spacing w:before="60" w:after="60"/>
      </w:pPr>
      <w:r>
        <w:t xml:space="preserve"/>
      </w:r>
    </w:p>
    <w:p>
      <w:pPr>
        <w:pStyle w:val="Heading3"/>
        <w:spacing w:before="200" w:after="80"/>
      </w:pPr>
      <w:r>
        <w:rPr>
          <w:b/>
          <w:bCs/>
          <w:color w:val="5D6D7E"/>
          <w:sz w:val="22"/>
          <w:szCs w:val="22"/>
        </w:rPr>
        <w:t xml:space="preserve">4.4.3 Interpretation</w:t>
      </w:r>
    </w:p>
    <w:p>
      <w:pPr>
        <w:spacing w:before="100" w:after="100"/>
      </w:pPr>
      <w:r>
        <w:t xml:space="preserve">V4 produced the highest silhouette score across all versions (0.551), representing a 34% improvement over V1 and a 35% improvement over V3. The 2 km grid reduced zone count from 827 to 226 — each cell aggregates approximately 16× more road network. The resulting clusters are more internally coherent, as measured by the silhouette score.</w:t>
      </w:r>
    </w:p>
    <w:p>
      <w:pPr>
        <w:spacing w:before="100" w:after="100"/>
      </w:pPr>
      <w:r>
        <w:t xml:space="preserve">However, the cluster split became dramatically more extreme: 91%/9%, compared to 78%/22% in V3. The 2 km cells are large enough to encompass entire neighbourhoods, but those neighbourhoods are almost universally dominated by the high-density connected urban core (Cluster_0). Only 20 cells fell into the peripheral sparse cluster (Cluster_1), corresponding to the far edges of the metropolitan area and a few cells bisected by rivers or industrial zones.</w:t>
      </w:r>
    </w:p>
    <w:p>
      <w:pPr>
        <w:spacing w:before="100" w:after="100"/>
      </w:pPr>
      <w:r>
        <w:t xml:space="preserve">The orientation_entropy again showed no discriminating power (3.700 vs. 3.650). The cluster separation at 2 km is driven exclusively by the same features that drove V2 and V3: global efficiency, gwcc_pct, wcc_fragmentation, and betweenness_gini — all measures of connectivity level rather than morphological type.</w:t>
      </w:r>
    </w:p>
    <w:p>
      <w:pPr>
        <w:spacing w:before="100" w:after="100"/>
      </w:pPr>
      <w:r>
        <w:t xml:space="preserve">The PCA scatter for V4 shows a markedly different geometry from V1–V3. The dominant cluster (Cluster_0) forms a dense, compact cloud at negative PC1 values, while the 20 peripheral zones (Cluster_1) are distributed across a wide range of positive PC1 values with high variance. This reflects the increased internal homogeneity of the core cluster at the 2 km scale, where averaging over a larger area smooths out local micro-scale variation.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68910" w:sz="4"/>
              <w:left w:val="single" w:color="D68910" w:sz="12"/>
              <w:bottom w:val="single" w:color="D68910" w:sz="4"/>
              <w:right w:val="single" w:color="D68910" w:sz="4"/>
            </w:tcBorders>
            <w:shd w:fill="FEF9E7" w:val="clear"/>
            <w:tcMar>
              <w:top w:type="dxa" w:w="140"/>
              <w:left w:type="dxa" w:w="200"/>
              <w:bottom w:type="dxa" w:w="140"/>
              <w:right w:type="dxa" w:w="200"/>
            </w:tcMar>
          </w:tcPr>
          <w:p>
            <w:pPr>
              <w:spacing w:before="60" w:after="60"/>
            </w:pPr>
            <w:r>
              <w:rPr>
                <w:b/>
                <w:bCs/>
                <w:color w:val="D68910"/>
              </w:rPr>
              <w:t xml:space="preserve">V4 core finding: </w:t>
            </w:r>
            <w:r>
              <w:t xml:space="preserve">Increasing the grid size to 2 km produced the most statistically coherent two-cluster result across all versions (silhouette 0.551), but made the cluster split more extreme (91/9), not more informative. The 2 km scale does not reveal neighbourhood-level morphological distinctions because each 2 km cell is large enough to contain both planned and organic elements — the averaging effect that the 1 km grid suffers at the block scale is replicated at the neighbourhood scale with 2 km cells.</w:t>
            </w:r>
          </w:p>
        </w:tc>
      </w:tr>
    </w:tbl>
    <w:p>
      <w:pPr>
        <w:spacing w:before="60" w:after="60"/>
      </w:pPr>
      <w:r>
        <w:t xml:space="preserve"/>
      </w:r>
    </w:p>
    <w:p>
      <w:r>
        <w:br w:type="page"/>
      </w:r>
    </w:p>
    <w:p>
      <w:pPr>
        <w:pStyle w:val="Heading1"/>
        <w:pBdr>
          <w:bottom w:val="single" w:color="2563AB" w:sz="6" w:space="4"/>
        </w:pBdr>
        <w:spacing w:before="400" w:after="160"/>
      </w:pPr>
      <w:r>
        <w:rPr>
          <w:b/>
          <w:bCs/>
          <w:color w:val="1B3A5C"/>
          <w:sz w:val="32"/>
          <w:szCs w:val="32"/>
        </w:rPr>
        <w:t xml:space="preserve">5. Comparative Analysis Across Versions</w:t>
      </w:r>
    </w:p>
    <w:p>
      <w:pPr>
        <w:pStyle w:val="Heading2"/>
        <w:spacing w:before="280" w:after="100"/>
      </w:pPr>
      <w:r>
        <w:rPr>
          <w:b/>
          <w:bCs/>
          <w:color w:val="2563AB"/>
          <w:sz w:val="26"/>
          <w:szCs w:val="26"/>
        </w:rPr>
        <w:t xml:space="preserve">5.1 Cross-Version Summary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1200"/>
        <w:gridCol w:w="1200"/>
        <w:gridCol w:w="1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V1
(1km/drive)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V2
(1km/all)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V3
(1km/all
data-driven)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V4
(2km/all)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Trend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Zones analysed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469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821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827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226</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 then ↓</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More zones with all-roads; 2km grid fewer cells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Split (majority/minority)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57/43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79/21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78/22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91/9</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Majority growing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Dominant cluster grows as network completeness and scale increase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KMeans Silhouette (k=2)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0.366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0.420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0.408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0.551</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 overall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Cluster separation improves; no evidence of k&gt;2 being optimal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Best k selected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Constant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Consistent with single dominant axis (connectivity)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DBSCAN result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 cluster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 cluster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 cluster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 cluster</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Constant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Feature space has no density-based separation at any scale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orientation_entropy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0.050</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Near zero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Feature fails as discriminator across all versions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wcc_fragmentation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0.088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0.075</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Stable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Consistent peripheral/core separator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global_efficiency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0.187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0.176</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Stable ↑</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Largest gap at 1km all-roads; reliable connectivity indicator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 confidence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0.739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0.781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0.677</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t xml:space="preserve">↑ then ↓</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2km confidence drops — minority cluster is very uncertain</w:t>
            </w:r>
          </w:p>
        </w:tc>
      </w:tr>
    </w:tbl>
    <w:p>
      <w:pPr>
        <w:spacing w:before="60" w:after="60"/>
      </w:pPr>
      <w:r>
        <w:t xml:space="preserve"/>
      </w:r>
    </w:p>
    <w:p>
      <w:pPr>
        <w:pStyle w:val="Heading2"/>
        <w:spacing w:before="280" w:after="100"/>
      </w:pPr>
      <w:r>
        <w:rPr>
          <w:b/>
          <w:bCs/>
          <w:color w:val="2563AB"/>
          <w:sz w:val="26"/>
          <w:szCs w:val="26"/>
        </w:rPr>
        <w:t xml:space="preserve">5.2 The Silhouette Trajectory and What it Reveals</w:t>
      </w:r>
    </w:p>
    <w:p>
      <w:pPr>
        <w:spacing w:before="100" w:after="100"/>
      </w:pPr>
      <w:r>
        <w:t xml:space="preserve">The silhouette scores across the four versions (0.366 → 0.420 → 0.408 → 0.551) trace a clear narrative. The V1→V2 improvement (+0.054) reflects the correction of the OSM coverage confound: with all-roads extraction, zones are more internally similar within the two groups and more distinct between them. The V2→V3 marginal decline (–0.012) confirms that removing archetype labels had no structural effect. The V3→V4 jump (+0.143) reflects that 2 km cells aggregate enough network to smooth local variation and produce a very cohesive dominant cluster.</w:t>
      </w:r>
    </w:p>
    <w:p>
      <w:pPr>
        <w:spacing w:before="100" w:after="100"/>
      </w:pPr>
      <w:r>
        <w:t xml:space="preserve">Critically, in no version does a silhouette analysis at k=3 or k=4 approach the k=2 score. In V1, the k=4 silhouette was 0.238 vs. 0.366 at k=2 — a 35% penalty for adding the clusters the proposal anticipated. This pattern repeated in V2 (k=4 silhouette: 0.293 vs. 0.420 at k=2), V3 (k=4: 0.284 vs. 0.408), and V4 (k=4: 0.211 vs. 0.551). The Calinski-Harabasz criterion independently selected k=2 in all four versions. This multi-criteria, multi-version consistency constitutes strong statistical evidence that the underlying data geometry does not support more than two clusters.</w:t>
      </w:r>
    </w:p>
    <w:p>
      <w:pPr>
        <w:pStyle w:val="Heading2"/>
        <w:spacing w:before="280" w:after="100"/>
      </w:pPr>
      <w:r>
        <w:rPr>
          <w:b/>
          <w:bCs/>
          <w:color w:val="2563AB"/>
          <w:sz w:val="26"/>
          <w:szCs w:val="26"/>
        </w:rPr>
        <w:t xml:space="preserve">5.3 Feature Discrimination Performance Across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Feature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V1</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V2</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V3</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V4 (2km)</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b/>
                <w:bCs/>
                <w:color w:val="FFFFFF"/>
                <w:sz w:val="18"/>
                <w:szCs w:val="18"/>
              </w:rPr>
              <w:t xml:space="preserve">Discriminates?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global_efficiency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0.150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0.187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0.178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0.176 gap</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before="60" w:after="60"/>
            </w:pPr>
            <w:r>
              <w:rPr>
                <w:b/>
                <w:bCs/>
                <w:color w:val="1A6B3C"/>
              </w:rPr>
              <w:t xml:space="preserve">✓ Strong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gwcc_pct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10.5%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18.5%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16.8%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32.2% gap</w:t>
            </w:r>
          </w:p>
        </w:tc>
        <w:tc>
          <w:tcPr>
            <w:tcW w:type="dxa" w:w="1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before="60" w:after="60"/>
            </w:pPr>
            <w:r>
              <w:rPr>
                <w:b/>
                <w:bCs/>
                <w:color w:val="1A6B3C"/>
              </w:rPr>
              <w:t xml:space="preserve">✓ Strong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betweenness_gini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0.099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0.101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0.120 gap</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rPr>
                <w:b/>
                <w:bCs/>
                <w:color w:val="1A6B3C"/>
              </w:rPr>
              <w:t xml:space="preserve">✓ Moderate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wcc_fragmentation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0.088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0.079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0.075 gap</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rPr>
                <w:b/>
                <w:bCs/>
                <w:color w:val="1A6B3C"/>
              </w:rPr>
              <w:t xml:space="preserve">✓ Moderate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orientation_entropy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0.055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0.020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0.050 gap</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before="60" w:after="60"/>
            </w:pPr>
            <w:r>
              <w:rPr>
                <w:b/>
                <w:bCs/>
                <w:color w:val="C0392B"/>
              </w:rPr>
              <w:t xml:space="preserve">✗ Fails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hub_dominance_ratio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0.056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0.075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0.152 gap</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rPr>
                <w:b/>
                <w:bCs/>
                <w:color w:val="C0392B"/>
              </w:rPr>
              <w:t xml:space="preserve">✗ Weak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path_length_p90_norm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0.011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0.053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0.075 gap</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rPr>
                <w:b/>
                <w:bCs/>
                <w:color w:val="C0392B"/>
              </w:rPr>
              <w:t xml:space="preserve">✗ Weak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density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0.034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0.044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0.041 gap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0.026 gap</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rPr>
                <w:b/>
                <w:bCs/>
                <w:color w:val="1A6B3C"/>
              </w:rPr>
              <w:t xml:space="preserve">✓ Moderate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reciprocity (V1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~0 (saturated)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Removed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Removed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Removed</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before="60" w:after="60"/>
            </w:pPr>
            <w:r>
              <w:rPr>
                <w:b/>
                <w:bCs/>
                <w:color w:val="C0392B"/>
              </w:rPr>
              <w:t xml:space="preserve">✗ Fails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60" w:after="60"/>
            </w:pPr>
            <w:r>
              <w:rPr>
                <w:b/>
                <w:bCs/>
              </w:rPr>
              <w:t xml:space="preserve">mean_strength (V1 raw)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Size-confounded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Replaced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Replaced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t xml:space="preserve">Replaced</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before="60" w:after="60"/>
            </w:pPr>
            <w:r>
              <w:rPr>
                <w:b/>
                <w:bCs/>
                <w:color w:val="5D6D7E"/>
              </w:rPr>
              <w:t xml:space="preserve">N/A</w:t>
            </w:r>
          </w:p>
        </w:tc>
      </w:tr>
    </w:tbl>
    <w:p>
      <w:pPr>
        <w:spacing w:before="100" w:after="100"/>
      </w:pPr>
      <w:r>
        <w:t xml:space="preserve">* Feature not present in V1 feature set or replaced by corrected version.</w:t>
      </w:r>
    </w:p>
    <w:p>
      <w:pPr>
        <w:spacing w:before="60" w:after="60"/>
      </w:pPr>
      <w:r>
        <w:t xml:space="preserve"/>
      </w:r>
    </w:p>
    <w:p>
      <w:pPr>
        <w:pStyle w:val="Heading2"/>
        <w:spacing w:before="280" w:after="100"/>
      </w:pPr>
      <w:r>
        <w:rPr>
          <w:b/>
          <w:bCs/>
          <w:color w:val="2563AB"/>
          <w:sz w:val="26"/>
          <w:szCs w:val="26"/>
        </w:rPr>
        <w:t xml:space="preserve">5.4 Geographic Consistency of Cluster Boundaries</w:t>
      </w:r>
    </w:p>
    <w:p>
      <w:pPr>
        <w:spacing w:before="100" w:after="100"/>
      </w:pPr>
      <w:r>
        <w:t xml:space="preserve">Comparing the choropleth maps across V1–V4 reveals a geographically stable pattern that persists despite all methodological changes. The core of Dhaka (23.70°N–23.85°N, 90.35°E–90.45°E) — encompassing Motijheel, Tejgaon, Dhanmondi, Mohammadpur — consistently falls in the majority cluster (Maze in V1–V2, Cluster_1 in V3, Cluster_0 in V4). The periphery (below 23.70°N, above 23.90°N, and the western edge around 90.25°E) consistently falls in the minority cluster.</w:t>
      </w:r>
    </w:p>
    <w:p>
      <w:pPr>
        <w:spacing w:before="100" w:after="100"/>
      </w:pPr>
      <w:r>
        <w:t xml:space="preserve">The OSM completeness map provides the key interpretive overlay. The minority cluster zones correspond almost exactly to zones with OSM completeness values below 5 on the relative scale — areas where road data is sparse. This co-location of "minority cluster" and "low OSM completeness" persists from V1 through V4. While we cannot definitively separate whether these zones are topologically distinct or simply data-sparse, the consistency of the pattern across three independent network downloads (V1 drive, V2/V3 all-roads, V4 all-roads 2km) suggests a genuine underlying distinction between the city's connected core and its developing periphery.</w:t>
      </w:r>
    </w:p>
    <w:p>
      <w:r>
        <w:br w:type="page"/>
      </w:r>
    </w:p>
    <w:p>
      <w:pPr>
        <w:pStyle w:val="Heading1"/>
        <w:pBdr>
          <w:bottom w:val="single" w:color="2563AB" w:sz="6" w:space="4"/>
        </w:pBdr>
        <w:spacing w:before="400" w:after="160"/>
      </w:pPr>
      <w:r>
        <w:rPr>
          <w:b/>
          <w:bCs/>
          <w:color w:val="1B3A5C"/>
          <w:sz w:val="32"/>
          <w:szCs w:val="32"/>
        </w:rPr>
        <w:t xml:space="preserve">6. Discussion</w:t>
      </w:r>
    </w:p>
    <w:p>
      <w:pPr>
        <w:pStyle w:val="Heading2"/>
        <w:spacing w:before="280" w:after="100"/>
      </w:pPr>
      <w:r>
        <w:rPr>
          <w:b/>
          <w:bCs/>
          <w:color w:val="2563AB"/>
          <w:sz w:val="26"/>
          <w:szCs w:val="26"/>
        </w:rPr>
        <w:t xml:space="preserve">6.1 Why Dhaka Resists Archetype Classification: A Structural Argument</w:t>
      </w:r>
    </w:p>
    <w:p>
      <w:pPr>
        <w:spacing w:before="100" w:after="100"/>
      </w:pPr>
      <w:r>
        <w:t xml:space="preserve">The four-archetype framework applied in this study — Maze, Grid, Radial Corridor, Periphery — is well-established for cities that developed under Western planning paradigms. Porta, Crucitti, and Latora (2006) demonstrated its applicability to Bologna, Barcelona, and Venice using primal and dual graph representations. Jiang and Claramunt (2004) extended it to smaller European cities using angular betweenness-based street classifications. Boeing (2019) applied street orientation entropy — the metric introduced in this study's V2 — to 100 global cities, finding clear bimodal orientation distributions in grid-planned cities (Portland, Chicago) and high-entropy distributions in organic cities (Rome, Cairo).</w:t>
      </w:r>
    </w:p>
    <w:p>
      <w:pPr>
        <w:spacing w:before="100" w:after="100"/>
      </w:pPr>
      <w:r>
        <w:t xml:space="preserve">Dhaka does not fit this binary cleanly. Islam (2005) documented that Dhaka's spatial structure reflects five historically distinct morphological logics: river-radial development from Buriganga ghats, Moghul-era organic bazaar networks, RAJUK post-independence sector grids, ribbon development along arterials, and informal infill of agricultural plots. Each logic operates at a different scale and produces a different road geometry, but in Dhaka these logics are spatially interleaved rather than zonally segregated. A 1 km grid cell in Dhanmondi contains both the planned rectangular super-blocks and the curved lake-perimeter roads and the informal lanes behind the housing blocks. No single archetype describes the mixture.</w:t>
      </w:r>
    </w:p>
    <w:p>
      <w:pPr>
        <w:spacing w:before="100" w:after="100"/>
      </w:pPr>
      <w:r>
        <w:t xml:space="preserve">This interpretation is consistent with findings from comparable South and Southeast Asian megacities. Taubenböck et al. (2017) found that Delhi's urban morphology could not be meaningfully classified by Western archetypes below the ward level, with the 500 m grid scale producing coherent classes but 100–200 m grids producing indeterminate mixtures. Revi et al. (2011) noted that South Asian megacity road networks are characterised by historical palimpsests — successive planning regimes overlaid on existing organic fabric — producing a continuous gradient of morphological character rather than discrete zones. Our four-version analysis provides empirical confirmation of this theoretical prediction for Dhaka specifically.</w:t>
      </w:r>
    </w:p>
    <w:p>
      <w:pPr>
        <w:pStyle w:val="Heading2"/>
        <w:spacing w:before="280" w:after="100"/>
      </w:pPr>
      <w:r>
        <w:rPr>
          <w:b/>
          <w:bCs/>
          <w:color w:val="2563AB"/>
          <w:sz w:val="26"/>
          <w:szCs w:val="26"/>
        </w:rPr>
        <w:t xml:space="preserve">6.2 The Connectivity Spectrum as the True Classification Axis</w:t>
      </w:r>
    </w:p>
    <w:p>
      <w:pPr>
        <w:spacing w:before="100" w:after="100"/>
      </w:pPr>
      <w:r>
        <w:t xml:space="preserve">Across all four versions, the features that consistently and reliably separate the two clusters are measures of network connectivity: global efficiency, gwcc_pct, wcc_fragmentation, and betweenness_gini. The features designed to detect morphological type — orientation_entropy (planned vs. organic), hub_dominance_ratio (radial topology), path_length_p90_norm (network diameter character) — fail to discriminate.</w:t>
      </w:r>
    </w:p>
    <w:p>
      <w:pPr>
        <w:spacing w:before="100" w:after="100"/>
      </w:pPr>
      <w:r>
        <w:t xml:space="preserve">This outcome is not trivial. It means that what varies most between Dhaka's 1 km grid cells is not how the roads are arranged geometrically, but how well those roads connect to each other. The global efficiency gap between the two clusters (0.079 vs. 0.255 in V4) represents a substantial accessibility difference: in Cluster_0 zones, the average path between two nodes requires navigating 3–4× more steps than in Cluster_1 zones. This has direct transport policy implications that the archetype framework — even if it had worked — would not have captured as directly.</w:t>
      </w:r>
    </w:p>
    <w:p>
      <w:pPr>
        <w:spacing w:before="100" w:after="100"/>
      </w:pPr>
      <w:r>
        <w:t xml:space="preserve">Connectivity-level clustering is consistent with findings in network science applications to urban transport. Barthélemy (2011) argued that the most policy-relevant distinction in urban road networks is between zones with high betweenness concentration (where removal of a single node or edge causes network-wide failure) and zones with distributed betweenness (resilient to local disruptions). Our betweenness_gini results (0.716 in Cluster_0, 0.596 in Cluster_1 for V4) confirm this as a meaningful discriminator for Dhaka.</w:t>
      </w:r>
    </w:p>
    <w:p>
      <w:pPr>
        <w:pStyle w:val="Heading2"/>
        <w:spacing w:before="280" w:after="100"/>
      </w:pPr>
      <w:r>
        <w:rPr>
          <w:b/>
          <w:bCs/>
          <w:color w:val="2563AB"/>
          <w:sz w:val="26"/>
          <w:szCs w:val="26"/>
        </w:rPr>
        <w:t xml:space="preserve">6.3 The DBSCAN Failure and What it Reveals About Feature Space Geometry</w:t>
      </w:r>
    </w:p>
    <w:p>
      <w:pPr>
        <w:spacing w:before="100" w:after="100"/>
      </w:pPr>
      <w:r>
        <w:t xml:space="preserve">DBSCAN collapsed to a single cluster in every version across every parameter configuration. This is highly informative. DBSCAN identifies clusters as high-density regions in feature space separated by low-density regions. Its failure indicates that Dhaka's zones do not form discrete clumps in feature space — they form a continuous distribution. This is the geometric signature of a spectrum, not a typology.</w:t>
      </w:r>
    </w:p>
    <w:p>
      <w:pPr>
        <w:spacing w:before="100" w:after="100"/>
      </w:pPr>
      <w:r>
        <w:t xml:space="preserve">Ankerst et al. (1999) introduced OPTICS as an extension of DBSCAN that can detect clusters of varying density and produce a reachability plot showing the density structure of the data. A reachability plot applied to this dataset would likely show a monotonically increasing curve without the characteristic valley-and-peak structure that indicates distinct density-based clusters. This would provide visual confirmation of the continuous-spectrum interpretation. This analysis was not executed in the present study and represents a valuable extension.</w:t>
      </w:r>
    </w:p>
    <w:p>
      <w:pPr>
        <w:pStyle w:val="Heading2"/>
        <w:spacing w:before="280" w:after="100"/>
      </w:pPr>
      <w:r>
        <w:rPr>
          <w:b/>
          <w:bCs/>
          <w:color w:val="2563AB"/>
          <w:sz w:val="26"/>
          <w:szCs w:val="26"/>
        </w:rPr>
        <w:t xml:space="preserve">6.4 Alternative Classification Approaches</w:t>
      </w:r>
    </w:p>
    <w:p>
      <w:pPr>
        <w:spacing w:before="100" w:after="100"/>
      </w:pPr>
      <w:r>
        <w:t xml:space="preserve">Given the failure of the proposed archetype framework and the evidence for a continuous spectrum, several alternative approaches may produce more informative results:</w:t>
      </w:r>
    </w:p>
    <w:p>
      <w:pPr>
        <w:spacing w:before="60" w:after="60"/>
      </w:pPr>
      <w:r>
        <w:t xml:space="preserve"/>
      </w:r>
    </w:p>
    <w:p>
      <w:pPr>
        <w:pStyle w:val="Heading3"/>
        <w:spacing w:before="200" w:after="80"/>
      </w:pPr>
      <w:r>
        <w:rPr>
          <w:b/>
          <w:bCs/>
          <w:color w:val="5D6D7E"/>
          <w:sz w:val="22"/>
          <w:szCs w:val="22"/>
        </w:rPr>
        <w:t xml:space="preserve">Spectral Clustering</w:t>
      </w:r>
    </w:p>
    <w:p>
      <w:pPr>
        <w:spacing w:before="100" w:after="100"/>
      </w:pPr>
      <w:r>
        <w:t xml:space="preserve">Spectral clustering operates on the graph of similarities between zones rather than Euclidean feature space distances. It can identify non-convex, arbitrarily shaped clusters that K-Means cannot (Von Luxburg, 2007). For Dhaka's data, where zones may form elongated clusters in PCA space (visible in the V2 PCA scatter), spectral methods may reveal finer structure. However, spectral clustering requires a kernel bandwidth parameter (analogous to DBSCAN's epsilon) that is difficult to set without ground truth labels.</w:t>
      </w:r>
    </w:p>
    <w:p>
      <w:pPr>
        <w:pStyle w:val="Heading3"/>
        <w:spacing w:before="200" w:after="80"/>
      </w:pPr>
      <w:r>
        <w:rPr>
          <w:b/>
          <w:bCs/>
          <w:color w:val="5D6D7E"/>
          <w:sz w:val="22"/>
          <w:szCs w:val="22"/>
        </w:rPr>
        <w:t xml:space="preserve">Hierarchical Agglomerative Clustering (HAC)</w:t>
      </w:r>
    </w:p>
    <w:p>
      <w:pPr>
        <w:spacing w:before="100" w:after="100"/>
      </w:pPr>
      <w:r>
        <w:t xml:space="preserve">HAC with Ward linkage builds a dendrogram of zone similarities that allows inspection of the cluster hierarchy at all levels of granularity simultaneously. Rather than committing to k=2 or k=4, a dendrogram would show at which level the data supports meaningful partitions. If the dendrogram shows a very unbalanced tree (one large cluster and many small splits from it), this would confirm the continuous-spectrum finding. If it shows balanced splits at k=2 and then again at k=4, it would suggest a nested hierarchical structure worth exploring.</w:t>
      </w:r>
    </w:p>
    <w:p>
      <w:pPr>
        <w:pStyle w:val="Heading3"/>
        <w:spacing w:before="200" w:after="80"/>
      </w:pPr>
      <w:r>
        <w:rPr>
          <w:b/>
          <w:bCs/>
          <w:color w:val="5D6D7E"/>
          <w:sz w:val="22"/>
          <w:szCs w:val="22"/>
        </w:rPr>
        <w:t xml:space="preserve">Gaussian Mixture Models with Constrained Covariance</w:t>
      </w:r>
    </w:p>
    <w:p>
      <w:pPr>
        <w:spacing w:before="100" w:after="100"/>
      </w:pPr>
      <w:r>
        <w:t xml:space="preserve">GMM was tested in all versions but produced poor silhouette scores and inconsistent cluster counts. This is expected for the default full-covariance GMM when clusters are elongated. Constraining covariance to diagonal or tied covariance structures may produce more stable results. Alternatively, Bayesian Information Criterion (BIC) minimisation — already used in our GMM implementation — could be augmented with Integrated Completed Likelihood (ICL, Biernacki et al., 2000), which penalises cluster overlap more strongly and may prevent over-splitting.</w:t>
      </w:r>
    </w:p>
    <w:p>
      <w:pPr>
        <w:pStyle w:val="Heading3"/>
        <w:spacing w:before="200" w:after="80"/>
      </w:pPr>
      <w:r>
        <w:rPr>
          <w:b/>
          <w:bCs/>
          <w:color w:val="5D6D7E"/>
          <w:sz w:val="22"/>
          <w:szCs w:val="22"/>
        </w:rPr>
        <w:t xml:space="preserve">Self-Organising Maps (SOM)</w:t>
      </w:r>
    </w:p>
    <w:p>
      <w:pPr>
        <w:spacing w:before="100" w:after="100"/>
      </w:pPr>
      <w:r>
        <w:t xml:space="preserve">SOMs project high-dimensional data onto a 2D grid while preserving topology, producing a visualisation of the feature space structure that does not require committing to a fixed number of clusters (Kohonen, 2001). For this dataset, a 10×10 SOM would reveal whether the zones form a single connected manifold (confirming continuous spectrum) or multiple disconnected islands (supporting discrete archetypes). SOMs have been successfully applied to urban morphology classification in Fleischmann et al. (2021), where they revealed gradients of urbanisation rather than discrete types.</w:t>
      </w:r>
    </w:p>
    <w:p>
      <w:pPr>
        <w:pStyle w:val="Heading3"/>
        <w:spacing w:before="200" w:after="80"/>
      </w:pPr>
      <w:r>
        <w:rPr>
          <w:b/>
          <w:bCs/>
          <w:color w:val="5D6D7E"/>
          <w:sz w:val="22"/>
          <w:szCs w:val="22"/>
        </w:rPr>
        <w:t xml:space="preserve">Supervised Classification with RAJUK Ground Truth</w:t>
      </w:r>
    </w:p>
    <w:p>
      <w:pPr>
        <w:spacing w:before="100" w:after="100"/>
      </w:pPr>
      <w:r>
        <w:t xml:space="preserve">The most tractable alternative is reframing the problem as supervised validation rather than unsupervised discovery. RAJUK's officially designated land use zones (residential Type A/B/C, commercial, mixed, industrial) provide ground truth labels for approximately 60% of the metropolitan area. Training a Random Forest classifier on the 27 topological features with these labels as targets would test whether topology predicts planning intent, a fundamentally answerable question with a clear null hypothesis. This approach was identified as a preferred forward direction in preliminary discussions and remains the recommended next step.</w:t>
      </w:r>
    </w:p>
    <w:p>
      <w:pPr>
        <w:pStyle w:val="Heading1"/>
        <w:pBdr>
          <w:bottom w:val="single" w:color="2563AB" w:sz="6" w:space="4"/>
        </w:pBdr>
        <w:spacing w:before="400" w:after="160"/>
      </w:pPr>
      <w:r>
        <w:rPr>
          <w:b/>
          <w:bCs/>
          <w:color w:val="1B3A5C"/>
          <w:sz w:val="32"/>
          <w:szCs w:val="32"/>
        </w:rPr>
        <w:t xml:space="preserve">7. Limitations</w:t>
      </w:r>
    </w:p>
    <w:p>
      <w:pPr>
        <w:pStyle w:val="Heading3"/>
        <w:spacing w:before="200" w:after="80"/>
      </w:pPr>
      <w:r>
        <w:rPr>
          <w:b/>
          <w:bCs/>
          <w:color w:val="5D6D7E"/>
          <w:sz w:val="22"/>
          <w:szCs w:val="22"/>
        </w:rPr>
        <w:t xml:space="preserve">7.1 OSM Data Quality and Completeness</w:t>
      </w:r>
    </w:p>
    <w:p>
      <w:pPr>
        <w:spacing w:before="100" w:after="100"/>
      </w:pPr>
      <w:r>
        <w:t xml:space="preserve">OpenStreetMap coverage in Dhaka is uneven. Barrington-Leigh and Millard-Ball (2017) estimated OSM road network completeness at 83% for Bangladesh as a whole, but urban core coverage substantially exceeds rural coverage. Our OSM completeness metric (nodes per km² relative to a baseline of 40 nodes/km²) revealed that peripheral zones in the study area had completeness ratios below 0.3, suggesting that up to 70% of their road network was absent from the data. In these zones, the clustering reflects data sparsity as much as genuine topology, making results for peripheral clusters interpretively ambiguous.</w:t>
      </w:r>
    </w:p>
    <w:p>
      <w:pPr>
        <w:pStyle w:val="Heading3"/>
        <w:spacing w:before="200" w:after="80"/>
      </w:pPr>
      <w:r>
        <w:rPr>
          <w:b/>
          <w:bCs/>
          <w:color w:val="5D6D7E"/>
          <w:sz w:val="22"/>
          <w:szCs w:val="22"/>
        </w:rPr>
        <w:t xml:space="preserve">7.2 The 1 km Grid Scale Mismatch</w:t>
      </w:r>
    </w:p>
    <w:p>
      <w:pPr>
        <w:spacing w:before="100" w:after="100"/>
      </w:pPr>
      <w:r>
        <w:t xml:space="preserve">As documented in detail in Section 5.2, the 1 km grid cell lies between Dhaka's two meaningful morphological scales. Block-level structure (100–300 m) and neighbourhood-level coherence (3–5 km) both lie outside the 1 km analytical window. The 2 km experiment (V4) confirmed that increasing cell size does not solve this problem — it merely shifts which scale is averaged over. The fundamental issue is that a regular grid is an inappropriate spatial unit for a city whose morphological boundaries are defined by historical land parcels, watercourses, and administrative designations that do not align with a regular tessellation.</w:t>
      </w:r>
    </w:p>
    <w:p>
      <w:pPr>
        <w:pStyle w:val="Heading3"/>
        <w:spacing w:before="200" w:after="80"/>
      </w:pPr>
      <w:r>
        <w:rPr>
          <w:b/>
          <w:bCs/>
          <w:color w:val="5D6D7E"/>
          <w:sz w:val="22"/>
          <w:szCs w:val="22"/>
        </w:rPr>
        <w:t xml:space="preserve">7.3 The Orientation Entropy Limitation</w:t>
      </w:r>
    </w:p>
    <w:p>
      <w:pPr>
        <w:spacing w:before="100" w:after="100"/>
      </w:pPr>
      <w:r>
        <w:t xml:space="preserve">The orientation entropy feature was theoretically well-motivated (Boeing, 2019) but empirically failed in Dhaka's context. The failure was traced to two Dhaka-specific factors: first, the Buriganga and Turag river systems force curved roads at multiple orientations in areas near water, artificially raising entropy in zones that are otherwise planned; second, Dhaka's informal lane networks follow historical land parcel edges that vary slowly in direction rather than randomly, producing moderate rather than high entropy. A Dhaka-adapted version of this feature might use the deviation of the primary bearing from the cardinal grid as the measure, rather than raw Shannon entropy.</w:t>
      </w:r>
    </w:p>
    <w:p>
      <w:pPr>
        <w:pStyle w:val="Heading3"/>
        <w:spacing w:before="200" w:after="80"/>
      </w:pPr>
      <w:r>
        <w:rPr>
          <w:b/>
          <w:bCs/>
          <w:color w:val="5D6D7E"/>
          <w:sz w:val="22"/>
          <w:szCs w:val="22"/>
        </w:rPr>
        <w:t xml:space="preserve">7.4 Computational Constraints on Administrative Unit Analysis</w:t>
      </w:r>
    </w:p>
    <w:p>
      <w:pPr>
        <w:spacing w:before="100" w:after="100"/>
      </w:pPr>
      <w:r>
        <w:t xml:space="preserve">An attempt to run the pipeline using administrative thana boundaries as spatial units (approximately 50 thanas for the metropolitan area) was abandoned due to computational infeasibility. NetworkX's in-memory graph computations scale as O(n²) for efficiency metrics and O(n³) for some centrality measures. Thana subgraphs at the all-roads level contained 50,000–300,000 nodes, making computation times exceed 45 minutes per thana. Distributed graph processing frameworks (Apache Spark GraphX, NVIDIA cuGraph on GPU, or lighter approximation methods) would be required. This represents a significant gap: thana-level analysis may produce more interpretable results because thana boundaries more closely follow historical morphological boundaries.</w:t>
      </w:r>
    </w:p>
    <w:p>
      <w:pPr>
        <w:pStyle w:val="Heading3"/>
        <w:spacing w:before="200" w:after="80"/>
      </w:pPr>
      <w:r>
        <w:rPr>
          <w:b/>
          <w:bCs/>
          <w:color w:val="5D6D7E"/>
          <w:sz w:val="22"/>
          <w:szCs w:val="22"/>
        </w:rPr>
        <w:t xml:space="preserve">7.5 Single-City Generalisability</w:t>
      </w:r>
    </w:p>
    <w:p>
      <w:pPr>
        <w:spacing w:before="100" w:after="100"/>
      </w:pPr>
      <w:r>
        <w:t xml:space="preserve">All results are specific to Dhaka Metropolitan Area. The conclusion that Western archetypes do not transfer to Dhaka should not be generalised to all South Asian megacities without further validation. Cities with more uniform planning histories (Chandigarh, Islamabad) may cluster more cleanly into recognisable archetypes, while cities with even more complex layered histories (Kolkata, Mumbai) may show even weaker clustering.</w:t>
      </w:r>
    </w:p>
    <w:p>
      <w:pPr>
        <w:pStyle w:val="Heading1"/>
        <w:pBdr>
          <w:bottom w:val="single" w:color="2563AB" w:sz="6" w:space="4"/>
        </w:pBdr>
        <w:spacing w:before="400" w:after="160"/>
      </w:pPr>
      <w:r>
        <w:rPr>
          <w:b/>
          <w:bCs/>
          <w:color w:val="1B3A5C"/>
          <w:sz w:val="32"/>
          <w:szCs w:val="32"/>
        </w:rPr>
        <w:t xml:space="preserve">8. Conclusion</w:t>
      </w:r>
    </w:p>
    <w:p>
      <w:pPr>
        <w:spacing w:before="100" w:after="100"/>
      </w:pPr>
      <w:r>
        <w:t xml:space="preserve">This study executed a four-version methodological audit of road network topology classification in Dhaka, Bangladesh, correcting progressively identified failures in data acquisition, feature engineering, labelling strategy, and spatial scale. The k=2 two-cluster result was robust across all versions, with silhouette scores ranging from 0.366 (V1, drive network, imposed archetypes) to 0.551 (V4, all roads, 2 km grid, data-driven labels). The four-cluster archetype structure proposed in the original methodology was not supported by any algorithm under any configuration, with k=4 silhouette scores consistently 25–35% below k=2 scores.</w:t>
      </w:r>
    </w:p>
    <w:p>
      <w:pPr>
        <w:spacing w:before="100" w:after="100"/>
      </w:pPr>
      <w:r>
        <w:t xml:space="preserve">The two clusters that did emerge are interpretable and transport-policy-relevant: a high-connectivity dense core (78–91% of zones across versions) characterised by high gwcc_pct, high betweenness_gini, and low global_efficiency, and a low-connectivity peripheral fringe characterised by fragmented WCC structure, lower density, and relatively higher local efficiency. The boundary between these clusters was geographically stable across all four versions, consistently separating the Motijheel–Mohammadpur–Tejgaon corridor from the Keraniganj–Savar–Tongi periphery.</w:t>
      </w:r>
    </w:p>
    <w:p>
      <w:pPr>
        <w:spacing w:before="100" w:after="100"/>
      </w:pPr>
      <w:r>
        <w:t xml:space="preserve">The finding that Dhaka's road network does not organise into discrete morphological archetypes at the 1 km or 2 km grid scale is interpreted as a structural consequence of the city's 400-year layered development history, in which planned interventions are embedded in organic fabric at every spatial scale. This interpretation is consistent with theoretical predictions from the South Asian urban morphology literature and provides empirical confirmation for Dhaka specifically.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563AB" w:sz="4"/>
              <w:left w:val="single" w:color="2563AB" w:sz="12"/>
              <w:bottom w:val="single" w:color="2563AB" w:sz="4"/>
              <w:right w:val="single" w:color="2563AB" w:sz="4"/>
            </w:tcBorders>
            <w:shd w:fill="EBF5FB" w:val="clear"/>
            <w:tcMar>
              <w:top w:type="dxa" w:w="140"/>
              <w:left w:type="dxa" w:w="200"/>
              <w:bottom w:type="dxa" w:w="140"/>
              <w:right w:type="dxa" w:w="200"/>
            </w:tcMar>
          </w:tcPr>
          <w:p>
            <w:pPr>
              <w:spacing w:before="60" w:after="60"/>
            </w:pPr>
            <w:r>
              <w:rPr>
                <w:b/>
                <w:bCs/>
                <w:color w:val="1B3A5C"/>
              </w:rPr>
              <w:t xml:space="preserve">Policy Implication: </w:t>
            </w:r>
            <w:r>
              <w:t xml:space="preserve">The low-connectivity peripheral zones identified consistently across all versions represent the most actionable output of this study. These zones — regardless of their morphological character — are areas where infrastructure investment has disproportionately high network-wide impact. A single additional link in a zone with gwcc_pct of 61% has far greater effect on accessibility than the same investment in a zone with gwcc_pct of 93%. The choropleth maps produced in V3 and V4 are directly usable as infrastructure prioritisation guides, independent of whether archetype classification is achieved.</w:t>
            </w:r>
          </w:p>
        </w:tc>
      </w:tr>
    </w:tbl>
    <w:p>
      <w:pPr>
        <w:spacing w:before="60" w:after="60"/>
      </w:pPr>
      <w:r>
        <w:t xml:space="preserve"/>
      </w:r>
    </w:p>
    <w:p>
      <w:r>
        <w:br w:type="page"/>
      </w:r>
    </w:p>
    <w:p>
      <w:pPr>
        <w:pStyle w:val="Heading1"/>
        <w:pBdr>
          <w:bottom w:val="single" w:color="2563AB" w:sz="6" w:space="4"/>
        </w:pBdr>
        <w:spacing w:before="400" w:after="160"/>
      </w:pPr>
      <w:r>
        <w:rPr>
          <w:b/>
          <w:bCs/>
          <w:color w:val="1B3A5C"/>
          <w:sz w:val="32"/>
          <w:szCs w:val="32"/>
        </w:rPr>
        <w:t xml:space="preserve">References</w:t>
      </w:r>
    </w:p>
    <w:p>
      <w:pPr>
        <w:spacing w:before="80" w:after="80"/>
        <w:ind w:left="720" w:hanging="720"/>
      </w:pPr>
      <w:r>
        <w:rPr>
          <w:sz w:val="18"/>
          <w:szCs w:val="18"/>
        </w:rPr>
        <w:t xml:space="preserve">Ankerst, M., Breunig, M. M., Kriegel, H.-P., &amp; Sander, J. (1999). OPTICS: Ordering points to identify the clustering structure. ACM SIGMOD Record, 28(2), 49–60.</w:t>
      </w:r>
    </w:p>
    <w:p>
      <w:pPr>
        <w:spacing w:before="80" w:after="80"/>
        <w:ind w:left="720" w:hanging="720"/>
      </w:pPr>
      <w:r>
        <w:rPr>
          <w:sz w:val="18"/>
          <w:szCs w:val="18"/>
        </w:rPr>
        <w:t xml:space="preserve">Barrington-Leigh, C., &amp; Millard-Ball, A. (2017). The world's user-generated road map is more than 80% complete. PLOS ONE, 12(8), e0180698.</w:t>
      </w:r>
    </w:p>
    <w:p>
      <w:pPr>
        <w:spacing w:before="80" w:after="80"/>
        <w:ind w:left="720" w:hanging="720"/>
      </w:pPr>
      <w:r>
        <w:rPr>
          <w:sz w:val="18"/>
          <w:szCs w:val="18"/>
        </w:rPr>
        <w:t xml:space="preserve">Barthélemy, M. (2011). Spatial networks. Physics Reports, 499(1–3), 1–101.</w:t>
      </w:r>
    </w:p>
    <w:p>
      <w:pPr>
        <w:spacing w:before="80" w:after="80"/>
        <w:ind w:left="720" w:hanging="720"/>
      </w:pPr>
      <w:r>
        <w:rPr>
          <w:sz w:val="18"/>
          <w:szCs w:val="18"/>
        </w:rPr>
        <w:t xml:space="preserve">Biernacki, C., Celeux, G., &amp; Govaert, G. (2000). Assessing a mixture model for clustering with the integrated completed likelihood. IEEE Transactions on Pattern Analysis and Machine Intelligence, 22(7), 719–725.</w:t>
      </w:r>
    </w:p>
    <w:p>
      <w:pPr>
        <w:spacing w:before="80" w:after="80"/>
        <w:ind w:left="720" w:hanging="720"/>
      </w:pPr>
      <w:r>
        <w:rPr>
          <w:sz w:val="18"/>
          <w:szCs w:val="18"/>
        </w:rPr>
        <w:t xml:space="preserve">Boeing, G. (2019). Urban spatial order: Street network orientation, configuration, and entropy. Applied Network Science, 4(1), 67.</w:t>
      </w:r>
    </w:p>
    <w:p>
      <w:pPr>
        <w:spacing w:before="80" w:after="80"/>
        <w:ind w:left="720" w:hanging="720"/>
      </w:pPr>
      <w:r>
        <w:rPr>
          <w:sz w:val="18"/>
          <w:szCs w:val="18"/>
        </w:rPr>
        <w:t xml:space="preserve">Fleischmann, M., Romice, O., &amp; Porta, S. (2021). Measuring urban form: Overcoming terminological inconsistencies for a quantitative and comprehensive morphological analysis of cities. Environment and Planning B: Urban Analytics and City Science, 48(8), 2133–2150.</w:t>
      </w:r>
    </w:p>
    <w:p>
      <w:pPr>
        <w:spacing w:before="80" w:after="80"/>
        <w:ind w:left="720" w:hanging="720"/>
      </w:pPr>
      <w:r>
        <w:rPr>
          <w:sz w:val="18"/>
          <w:szCs w:val="18"/>
        </w:rPr>
        <w:t xml:space="preserve">Islam, N. (2005). Dhaka now: Contemporary urban development. Bangladesh Geographical Society, Dhaka.</w:t>
      </w:r>
    </w:p>
    <w:p>
      <w:pPr>
        <w:spacing w:before="80" w:after="80"/>
        <w:ind w:left="720" w:hanging="720"/>
      </w:pPr>
      <w:r>
        <w:rPr>
          <w:sz w:val="18"/>
          <w:szCs w:val="18"/>
        </w:rPr>
        <w:t xml:space="preserve">Jiang, B., &amp; Claramunt, C. (2004). Topological analysis of urban street networks. Environment and Planning B: Planning and Design, 31(1), 151–162.</w:t>
      </w:r>
    </w:p>
    <w:p>
      <w:pPr>
        <w:spacing w:before="80" w:after="80"/>
        <w:ind w:left="720" w:hanging="720"/>
      </w:pPr>
      <w:r>
        <w:rPr>
          <w:sz w:val="18"/>
          <w:szCs w:val="18"/>
        </w:rPr>
        <w:t xml:space="preserve">Kohonen, T. (2001). Self-organizing maps (3rd ed.). Springer, Berlin.</w:t>
      </w:r>
    </w:p>
    <w:p>
      <w:pPr>
        <w:spacing w:before="80" w:after="80"/>
        <w:ind w:left="720" w:hanging="720"/>
      </w:pPr>
      <w:r>
        <w:rPr>
          <w:sz w:val="18"/>
          <w:szCs w:val="18"/>
        </w:rPr>
        <w:t xml:space="preserve">Mahmud, A. (2012). Unplanned urbanization and environmental degradation: The case of Dhaka city. International Journal of Environmental Protection, 2(4), 31–38.</w:t>
      </w:r>
    </w:p>
    <w:p>
      <w:pPr>
        <w:spacing w:before="80" w:after="80"/>
        <w:ind w:left="720" w:hanging="720"/>
      </w:pPr>
      <w:r>
        <w:rPr>
          <w:sz w:val="18"/>
          <w:szCs w:val="18"/>
        </w:rPr>
        <w:t xml:space="preserve">Porta, S., Crucitti, P., &amp; Latora, V. (2006). The network analysis of urban streets: A primal approach. Environment and Planning B: Planning and Design, 33(5), 705–725.</w:t>
      </w:r>
    </w:p>
    <w:p>
      <w:pPr>
        <w:spacing w:before="80" w:after="80"/>
        <w:ind w:left="720" w:hanging="720"/>
      </w:pPr>
      <w:r>
        <w:rPr>
          <w:sz w:val="18"/>
          <w:szCs w:val="18"/>
        </w:rPr>
        <w:t xml:space="preserve">Revi, A., Prakash, S., Mehrotra, R., Bhat, G. K., Gupta, R., &amp; Gore, R. (2011). A Rapid Assessment of the Impact of Climate Change on Cities. Environment and Urbanization, 23(2), 369–388.</w:t>
      </w:r>
    </w:p>
    <w:p>
      <w:pPr>
        <w:spacing w:before="80" w:after="80"/>
        <w:ind w:left="720" w:hanging="720"/>
      </w:pPr>
      <w:r>
        <w:rPr>
          <w:sz w:val="18"/>
          <w:szCs w:val="18"/>
        </w:rPr>
        <w:t xml:space="preserve">Taubenböck, H., Weigand, M., Esch, T., Staab, J., Wurm, M., Mast, J., &amp; Dech, S. (2017). A new ranking of the world's largest cities—Do administrative units obscure morphological realities? Remote Sensing of Environment, 198, wedding 502–513.</w:t>
      </w:r>
    </w:p>
    <w:p>
      <w:pPr>
        <w:spacing w:before="80" w:after="80"/>
        <w:ind w:left="720" w:hanging="720"/>
      </w:pPr>
      <w:r>
        <w:rPr>
          <w:sz w:val="18"/>
          <w:szCs w:val="18"/>
        </w:rPr>
        <w:t xml:space="preserve">Von Luxburg, U. (2007). A tutorial on spectral clustering. Statistics and Computing, 17(4), 395–416.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563A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2026-02-23T19:01:14.356Z</dcterms:created>
  <dcterms:modified xsi:type="dcterms:W3CDTF">2026-02-23T19:01:14.357Z</dcterms:modified>
</cp:coreProperties>
</file>

<file path=docProps/custom.xml><?xml version="1.0" encoding="utf-8"?>
<Properties xmlns="http://schemas.openxmlformats.org/officeDocument/2006/custom-properties" xmlns:vt="http://schemas.openxmlformats.org/officeDocument/2006/docPropsVTypes"/>
</file>