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7.6.- Complete las siguientes oraciones:</w:t>
      </w:r>
    </w:p>
    <w:p>
      <w:pPr>
        <w:pStyle w:val="style0"/>
        <w:numPr>
          <w:ilvl w:val="0"/>
          <w:numId w:val="1"/>
        </w:numPr>
        <w:spacing w:after="283" w:before="283"/>
        <w:contextualSpacing w:val="false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Un arreglo unidimensional </w:t>
      </w:r>
      <w:r>
        <w:rPr>
          <w:rFonts w:ascii="Ubuntu" w:hAnsi="Ubuntu"/>
          <w:i/>
          <w:iCs/>
          <w:sz w:val="22"/>
          <w:szCs w:val="22"/>
        </w:rPr>
        <w:t>p</w:t>
      </w:r>
      <w:r>
        <w:rPr>
          <w:rFonts w:ascii="Ubuntu" w:hAnsi="Ubuntu"/>
          <w:sz w:val="22"/>
          <w:szCs w:val="22"/>
        </w:rPr>
        <w:t xml:space="preserve"> contiene cuatro elementos. Los nombres de esos elementos son </w:t>
      </w:r>
      <w:r>
        <w:rPr>
          <w:rFonts w:ascii="Ubuntu" w:hAnsi="Ubuntu"/>
          <w:color w:val="DD4814"/>
          <w:sz w:val="22"/>
          <w:szCs w:val="22"/>
        </w:rPr>
        <w:t xml:space="preserve">p [ </w:t>
      </w:r>
      <w:r>
        <w:rPr>
          <w:rFonts w:ascii="Ubuntu" w:hAnsi="Ubuntu"/>
          <w:color w:val="DD4814"/>
          <w:sz w:val="22"/>
          <w:szCs w:val="22"/>
          <w:u w:val="none"/>
        </w:rPr>
        <w:t>0 ]</w:t>
      </w:r>
      <w:r>
        <w:rPr>
          <w:rFonts w:ascii="Ubuntu" w:hAnsi="Ubuntu"/>
          <w:sz w:val="22"/>
          <w:szCs w:val="22"/>
        </w:rPr>
        <w:t xml:space="preserve">, </w:t>
      </w:r>
      <w:r>
        <w:rPr>
          <w:rFonts w:ascii="Ubuntu" w:hAnsi="Ubuntu"/>
          <w:color w:val="DD4814"/>
          <w:sz w:val="22"/>
          <w:szCs w:val="22"/>
        </w:rPr>
        <w:t>p [ 1 ]</w:t>
      </w:r>
      <w:r>
        <w:rPr>
          <w:rFonts w:ascii="Ubuntu" w:hAnsi="Ubuntu"/>
          <w:sz w:val="22"/>
          <w:szCs w:val="22"/>
        </w:rPr>
        <w:t xml:space="preserve">, </w:t>
      </w:r>
      <w:r>
        <w:rPr>
          <w:rFonts w:ascii="Ubuntu" w:hAnsi="Ubuntu"/>
          <w:color w:val="DD4814"/>
          <w:sz w:val="22"/>
          <w:szCs w:val="22"/>
        </w:rPr>
        <w:t>p [ 2 ]</w:t>
      </w:r>
      <w:r>
        <w:rPr>
          <w:rFonts w:ascii="Ubuntu" w:hAnsi="Ubuntu"/>
          <w:sz w:val="22"/>
          <w:szCs w:val="22"/>
        </w:rPr>
        <w:t xml:space="preserve"> y </w:t>
      </w:r>
      <w:r>
        <w:rPr>
          <w:rFonts w:ascii="Ubuntu" w:hAnsi="Ubuntu"/>
          <w:color w:val="DD4814"/>
          <w:sz w:val="22"/>
          <w:szCs w:val="22"/>
        </w:rPr>
        <w:t>p [ 3 ]</w:t>
      </w:r>
      <w:r>
        <w:rPr>
          <w:rFonts w:ascii="Ubuntu" w:hAnsi="Ubuntu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spacing w:after="283" w:before="283"/>
        <w:contextualSpacing w:val="false"/>
        <w:rPr>
          <w:rFonts w:ascii="Ubuntu" w:hAnsi="Ubuntu"/>
          <w:color w:val="00000A"/>
          <w:sz w:val="22"/>
          <w:szCs w:val="22"/>
          <w:u w:val="none"/>
        </w:rPr>
      </w:pPr>
      <w:r>
        <w:rPr>
          <w:rFonts w:ascii="Ubuntu" w:hAnsi="Ubuntu"/>
          <w:sz w:val="22"/>
          <w:szCs w:val="22"/>
        </w:rPr>
        <w:t xml:space="preserve">Al proceso de nombrar un arreglo, declarar su tipo y especificar el número de dimensiones se le conoce como </w:t>
      </w:r>
      <w:r>
        <w:rPr>
          <w:rFonts w:ascii="Ubuntu" w:hAnsi="Ubuntu"/>
          <w:color w:val="DD4814"/>
          <w:sz w:val="22"/>
          <w:szCs w:val="22"/>
          <w:u w:val="none"/>
        </w:rPr>
        <w:t>DECLARAR</w:t>
      </w:r>
      <w:r>
        <w:rPr>
          <w:rFonts w:ascii="Ubuntu" w:hAnsi="Ubuntu"/>
          <w:color w:val="00000A"/>
          <w:sz w:val="22"/>
          <w:szCs w:val="22"/>
          <w:u w:val="none"/>
        </w:rPr>
        <w:t xml:space="preserve"> el arreglo.</w:t>
      </w:r>
    </w:p>
    <w:p>
      <w:pPr>
        <w:pStyle w:val="style0"/>
        <w:numPr>
          <w:ilvl w:val="0"/>
          <w:numId w:val="1"/>
        </w:numPr>
        <w:spacing w:after="283" w:before="283"/>
        <w:contextualSpacing w:val="false"/>
        <w:rPr>
          <w:rFonts w:ascii="Ubuntu" w:hAnsi="Ubuntu"/>
          <w:color w:val="00000A"/>
          <w:sz w:val="22"/>
          <w:szCs w:val="22"/>
          <w:u w:val="none"/>
        </w:rPr>
      </w:pPr>
      <w:r>
        <w:rPr>
          <w:rFonts w:ascii="Ubuntu" w:hAnsi="Ubuntu"/>
          <w:color w:val="00000A"/>
          <w:sz w:val="22"/>
          <w:szCs w:val="22"/>
          <w:u w:val="none"/>
        </w:rPr>
        <w:t xml:space="preserve">En un arreglo bidimensional, el primer índice identifica el (la) </w:t>
      </w:r>
      <w:r>
        <w:rPr>
          <w:rFonts w:ascii="Ubuntu" w:hAnsi="Ubuntu"/>
          <w:color w:val="DD4814"/>
          <w:sz w:val="22"/>
          <w:szCs w:val="22"/>
          <w:u w:val="none"/>
        </w:rPr>
        <w:t>filas</w:t>
      </w:r>
      <w:r>
        <w:rPr>
          <w:rFonts w:ascii="Ubuntu" w:hAnsi="Ubuntu"/>
          <w:color w:val="00000A"/>
          <w:sz w:val="22"/>
          <w:szCs w:val="22"/>
          <w:u w:val="none"/>
        </w:rPr>
        <w:t xml:space="preserve"> de un elemento y el segundo el (la) </w:t>
      </w:r>
      <w:r>
        <w:rPr>
          <w:rFonts w:ascii="Ubuntu" w:hAnsi="Ubuntu"/>
          <w:color w:val="DD4814"/>
          <w:sz w:val="22"/>
          <w:szCs w:val="22"/>
          <w:u w:val="none"/>
        </w:rPr>
        <w:t>columnas</w:t>
      </w:r>
      <w:r>
        <w:rPr>
          <w:rFonts w:ascii="Ubuntu" w:hAnsi="Ubuntu"/>
          <w:color w:val="00000A"/>
          <w:sz w:val="22"/>
          <w:szCs w:val="22"/>
          <w:u w:val="none"/>
        </w:rPr>
        <w:t xml:space="preserve"> de una elemento.</w:t>
      </w:r>
    </w:p>
    <w:p>
      <w:pPr>
        <w:pStyle w:val="style0"/>
        <w:numPr>
          <w:ilvl w:val="0"/>
          <w:numId w:val="1"/>
        </w:numPr>
        <w:spacing w:after="283" w:before="283"/>
        <w:contextualSpacing w:val="false"/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</w:pPr>
      <w:r>
        <w:rPr>
          <w:rFonts w:ascii="Ubuntu" w:hAnsi="Ubuntu"/>
          <w:color w:val="00000A"/>
          <w:sz w:val="22"/>
          <w:szCs w:val="22"/>
          <w:u w:val="none"/>
        </w:rPr>
        <w:t xml:space="preserve">Un arreglo de </w:t>
      </w:r>
      <w:r>
        <w:rPr>
          <w:rFonts w:ascii="Ubuntu" w:hAnsi="Ubuntu"/>
          <w:i/>
          <w:iCs/>
          <w:color w:val="00000A"/>
          <w:sz w:val="22"/>
          <w:szCs w:val="22"/>
          <w:u w:val="none"/>
        </w:rPr>
        <w:t xml:space="preserve">m </w:t>
      </w: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  <w:t xml:space="preserve">por </w:t>
      </w:r>
      <w:r>
        <w:rPr>
          <w:rFonts w:ascii="Ubuntu" w:hAnsi="Ubuntu"/>
          <w:i/>
          <w:iCs/>
          <w:color w:val="00000A"/>
          <w:sz w:val="22"/>
          <w:szCs w:val="22"/>
          <w:u w:val="none"/>
        </w:rPr>
        <w:t xml:space="preserve">n </w:t>
      </w: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  <w:t xml:space="preserve">contiene </w:t>
      </w:r>
      <w:r>
        <w:rPr>
          <w:rFonts w:ascii="Ubuntu" w:hAnsi="Ubuntu"/>
          <w:i w:val="false"/>
          <w:iCs w:val="false"/>
          <w:color w:val="DD4814"/>
          <w:sz w:val="22"/>
          <w:szCs w:val="22"/>
          <w:u w:val="none"/>
        </w:rPr>
        <w:t>m</w:t>
      </w: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  <w:t xml:space="preserve"> filas, </w:t>
      </w:r>
      <w:r>
        <w:rPr>
          <w:rFonts w:ascii="Ubuntu" w:hAnsi="Ubuntu"/>
          <w:i w:val="false"/>
          <w:iCs w:val="false"/>
          <w:color w:val="DD4814"/>
          <w:sz w:val="22"/>
          <w:szCs w:val="22"/>
          <w:u w:val="none"/>
        </w:rPr>
        <w:t>n</w:t>
      </w: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  <w:t xml:space="preserve"> columnas y </w:t>
      </w:r>
      <w:r>
        <w:rPr>
          <w:rFonts w:ascii="Ubuntu" w:hAnsi="Ubuntu"/>
          <w:i w:val="false"/>
          <w:iCs w:val="false"/>
          <w:color w:val="DD4814"/>
          <w:sz w:val="22"/>
          <w:szCs w:val="22"/>
          <w:u w:val="none"/>
        </w:rPr>
        <w:t>m * n</w:t>
      </w: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  <w:t xml:space="preserve"> elementos.</w:t>
      </w:r>
    </w:p>
    <w:p>
      <w:pPr>
        <w:pStyle w:val="style0"/>
        <w:numPr>
          <w:ilvl w:val="0"/>
          <w:numId w:val="1"/>
        </w:numPr>
        <w:spacing w:after="283" w:before="283"/>
        <w:contextualSpacing w:val="false"/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</w:pP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  <w:t xml:space="preserve">El nombre del elemento en la fila 3 y la columna 5 del arreglo </w:t>
      </w:r>
      <w:r>
        <w:rPr>
          <w:rFonts w:ascii="Ubuntu" w:hAnsi="Ubuntu"/>
          <w:i/>
          <w:iCs/>
          <w:color w:val="00000A"/>
          <w:sz w:val="22"/>
          <w:szCs w:val="22"/>
          <w:u w:val="none"/>
        </w:rPr>
        <w:t xml:space="preserve">d </w:t>
      </w: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  <w:t xml:space="preserve">es </w:t>
      </w:r>
      <w:r>
        <w:rPr>
          <w:rFonts w:ascii="Ubuntu" w:hAnsi="Ubuntu"/>
          <w:i w:val="false"/>
          <w:iCs w:val="false"/>
          <w:color w:val="DD4814"/>
          <w:sz w:val="22"/>
          <w:szCs w:val="22"/>
          <w:u w:val="none"/>
        </w:rPr>
        <w:t>d [ 3 ] [ 5 ]</w:t>
      </w: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  <w:t>.</w:t>
      </w:r>
    </w:p>
    <w:p>
      <w:pPr>
        <w:pStyle w:val="style0"/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</w:pP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</w:r>
    </w:p>
    <w:p>
      <w:pPr>
        <w:pStyle w:val="style0"/>
        <w:rPr>
          <w:i w:val="false"/>
          <w:iCs w:val="false"/>
          <w:color w:val="00000A"/>
          <w:sz w:val="24"/>
          <w:szCs w:val="24"/>
          <w:u w:val="none"/>
        </w:rPr>
      </w:pPr>
      <w:r>
        <w:rPr>
          <w:i w:val="false"/>
          <w:iCs w:val="false"/>
          <w:color w:val="00000A"/>
          <w:sz w:val="24"/>
          <w:szCs w:val="24"/>
          <w:u w:val="none"/>
        </w:rPr>
        <w:t>7.7.- Conteste con verdadero o falso a cada una de las siguientes proposiciones; en caso de ser falso explique por qué.</w:t>
      </w:r>
    </w:p>
    <w:p>
      <w:pPr>
        <w:pStyle w:val="style0"/>
        <w:numPr>
          <w:ilvl w:val="0"/>
          <w:numId w:val="2"/>
        </w:numPr>
        <w:spacing w:after="283" w:before="283"/>
        <w:contextualSpacing w:val="false"/>
        <w:rPr>
          <w:rFonts w:ascii="Ubuntu" w:hAnsi="Ubuntu"/>
          <w:i w:val="false"/>
          <w:iCs w:val="false"/>
          <w:color w:val="DD4814"/>
          <w:sz w:val="22"/>
          <w:szCs w:val="22"/>
          <w:u w:val="none"/>
        </w:rPr>
      </w:pP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  <w:t xml:space="preserve">Para referirse a una ubicación o elemento específico dentro de un arreglo, especificamos el nombre del arreglo y el valor del elemento específico. </w:t>
      </w:r>
      <w:r>
        <w:rPr>
          <w:rFonts w:ascii="Ubuntu" w:hAnsi="Ubuntu"/>
          <w:i w:val="false"/>
          <w:iCs w:val="false"/>
          <w:color w:val="DD4814"/>
          <w:sz w:val="22"/>
          <w:szCs w:val="22"/>
          <w:u w:val="none"/>
        </w:rPr>
        <w:t>Verdadero</w:t>
      </w:r>
    </w:p>
    <w:p>
      <w:pPr>
        <w:pStyle w:val="style0"/>
        <w:numPr>
          <w:ilvl w:val="0"/>
          <w:numId w:val="2"/>
        </w:numPr>
        <w:spacing w:after="283" w:before="283"/>
        <w:contextualSpacing w:val="false"/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</w:pP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  <w:t xml:space="preserve">La declaración de un arreglo reserva espacio para el mismo. </w:t>
      </w:r>
      <w:r>
        <w:rPr>
          <w:rFonts w:ascii="Ubuntu" w:hAnsi="Ubuntu"/>
          <w:i w:val="false"/>
          <w:iCs w:val="false"/>
          <w:color w:val="DD4814"/>
          <w:sz w:val="22"/>
          <w:szCs w:val="22"/>
          <w:u w:val="none"/>
        </w:rPr>
        <w:t>Verdadero</w:t>
      </w:r>
      <w:r>
        <w:rPr>
          <w:rFonts w:ascii="Ubuntu" w:hAnsi="Ubuntu"/>
          <w:i w:val="false"/>
          <w:iCs w:val="false"/>
          <w:color w:val="00000A"/>
          <w:sz w:val="22"/>
          <w:szCs w:val="22"/>
          <w:u w:val="none"/>
        </w:rPr>
        <w:t xml:space="preserve"> </w:t>
      </w:r>
    </w:p>
    <w:p>
      <w:pPr>
        <w:pStyle w:val="style0"/>
        <w:numPr>
          <w:ilvl w:val="0"/>
          <w:numId w:val="2"/>
        </w:numPr>
        <w:spacing w:after="283" w:before="283"/>
        <w:contextualSpacing w:val="false"/>
        <w:rPr>
          <w:rFonts w:ascii="Ubuntu" w:hAnsi="Ubuntu"/>
          <w:i w:val="false"/>
          <w:iCs w:val="false"/>
          <w:color w:val="DD4814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Para indicar que deben reservarse 100 ubicaciones para el arreglo entero </w:t>
      </w:r>
      <w:r>
        <w:rPr>
          <w:rFonts w:ascii="Ubuntu" w:hAnsi="Ubuntu"/>
          <w:i/>
          <w:iCs/>
          <w:sz w:val="22"/>
          <w:szCs w:val="22"/>
        </w:rPr>
        <w:t>p</w:t>
      </w:r>
      <w:r>
        <w:rPr>
          <w:rFonts w:ascii="Ubuntu" w:hAnsi="Ubuntu"/>
          <w:i w:val="false"/>
          <w:iCs w:val="false"/>
          <w:sz w:val="22"/>
          <w:szCs w:val="22"/>
        </w:rPr>
        <w:t xml:space="preserve">, el programador escribe la declaración:  p [ 100 ] ; </w:t>
      </w:r>
      <w:r>
        <w:rPr>
          <w:rFonts w:ascii="Ubuntu" w:hAnsi="Ubuntu"/>
          <w:i w:val="false"/>
          <w:iCs w:val="false"/>
          <w:color w:val="DD4814"/>
          <w:sz w:val="22"/>
          <w:szCs w:val="22"/>
        </w:rPr>
        <w:t>Falso. Para declarar que un arreglo reserve 100 ubicaciones se escribe así:  p[ ]= new int [ 100  ] ;.</w:t>
      </w:r>
    </w:p>
    <w:p>
      <w:pPr>
        <w:pStyle w:val="style0"/>
        <w:numPr>
          <w:ilvl w:val="0"/>
          <w:numId w:val="2"/>
        </w:numPr>
        <w:spacing w:after="283" w:before="283"/>
        <w:contextualSpacing w:val="false"/>
        <w:rPr>
          <w:rFonts w:ascii="Ubuntu" w:hAnsi="Ubuntu"/>
          <w:i w:val="false"/>
          <w:iCs w:val="false"/>
          <w:color w:val="DD4814"/>
          <w:sz w:val="22"/>
          <w:szCs w:val="22"/>
        </w:rPr>
      </w:pPr>
      <w:r>
        <w:rPr>
          <w:rFonts w:ascii="Ubuntu" w:hAnsi="Ubuntu"/>
          <w:i w:val="false"/>
          <w:iCs w:val="false"/>
          <w:sz w:val="22"/>
          <w:szCs w:val="22"/>
        </w:rPr>
        <w:t xml:space="preserve">Una aplicación que inicializa con ceros los elementos de un arreglo con 15 elementos debe contener al menos  una instrucción for. </w:t>
      </w:r>
      <w:r>
        <w:rPr>
          <w:rFonts w:ascii="Ubuntu" w:hAnsi="Ubuntu"/>
          <w:i w:val="false"/>
          <w:iCs w:val="false"/>
          <w:color w:val="DD4814"/>
          <w:sz w:val="22"/>
          <w:szCs w:val="22"/>
        </w:rPr>
        <w:t>Falso. Puesto que al declarar el arreglo por primera vez, todos los valores de los índices son 0.</w:t>
      </w:r>
    </w:p>
    <w:p>
      <w:pPr>
        <w:pStyle w:val="style0"/>
        <w:numPr>
          <w:ilvl w:val="0"/>
          <w:numId w:val="2"/>
        </w:numPr>
        <w:spacing w:after="283" w:before="283"/>
        <w:contextualSpacing w:val="false"/>
        <w:rPr>
          <w:rFonts w:ascii="Ubuntu" w:hAnsi="Ubuntu"/>
          <w:i w:val="false"/>
          <w:iCs w:val="false"/>
          <w:color w:val="DD4814"/>
          <w:sz w:val="22"/>
          <w:szCs w:val="22"/>
        </w:rPr>
      </w:pPr>
      <w:r>
        <w:rPr>
          <w:rFonts w:ascii="Ubuntu" w:hAnsi="Ubuntu"/>
          <w:i w:val="false"/>
          <w:iCs w:val="false"/>
          <w:sz w:val="22"/>
          <w:szCs w:val="22"/>
        </w:rPr>
        <w:t xml:space="preserve">Una aplicación que sume el total de los elementos de un arreglo bidimensional debe contener instrucciones for anidadas. </w:t>
      </w:r>
      <w:r>
        <w:rPr>
          <w:rFonts w:ascii="Ubuntu" w:hAnsi="Ubuntu"/>
          <w:i w:val="false"/>
          <w:iCs w:val="false"/>
          <w:color w:val="DD4814"/>
          <w:sz w:val="22"/>
          <w:szCs w:val="22"/>
        </w:rPr>
        <w:t>Verdadero.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s-MX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OpenSymbol"/>
    </w:rPr>
  </w:style>
  <w:style w:styleId="style17" w:type="character">
    <w:name w:val="ListLabel 2"/>
    <w:next w:val="style17"/>
    <w:rPr>
      <w:rFonts w:cs="Symbol"/>
    </w:rPr>
  </w:style>
  <w:style w:styleId="style18" w:type="paragraph">
    <w:name w:val="Encabezado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Pie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2013-11-25T21:28:01Z</dcterms:created>
  <dc:creator>Sabdi Orozco</dc:creator>
  <cp:lastModifiedBy>Sabdi Orozco</cp:lastModifiedBy>
  <dcterms:modified xsi:type="dcterms:W3CDTF">2013-11-25T22:33:57Z</dcterms:modified>
  <cp:revision>1</cp:revision>
</cp:coreProperties>
</file>