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September 2024</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2024 to August 2024.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company uses the  data stored on its database server to keep its business running, so keeping it publicly accessible means it’s exposed to  people with malicious intent also, so if some harm is done to the server then  the business operations would shut down, resulting in financial and reputational loss, legal penalties, etc. So the database server is of  high value and as well as exposed to  high risk. It must be protected in order to keep the business running in a profitable way.</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rPr>
                <w:color w:val="000000"/>
              </w:rPr>
            </w:pPr>
            <w:r w:rsidDel="00000000" w:rsidR="00000000" w:rsidRPr="00000000">
              <w:rPr>
                <w:i w:val="1"/>
                <w:rtl w:val="0"/>
              </w:rPr>
              <w:t xml:space="preserve">Disrupt mission-critical operations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before="0" w:line="276" w:lineRule="auto"/>
              <w:ind w:right="-30"/>
              <w:rPr>
                <w:i w:val="1"/>
              </w:rPr>
            </w:pPr>
            <w:r w:rsidDel="00000000" w:rsidR="00000000" w:rsidRPr="00000000">
              <w:rPr>
                <w:i w:val="1"/>
                <w:color w:val="000000"/>
                <w:rtl w:val="0"/>
              </w:rPr>
              <w:t xml:space="preserve">Alter/Delete critical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 with Insider Threats, eg: employees posing the most risk.</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