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2">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3">
      <w:pPr>
        <w:spacing w:after="200" w:line="360" w:lineRule="auto"/>
        <w:rPr>
          <w:rFonts w:ascii="Google Sans" w:cs="Google Sans" w:eastAsia="Google Sans" w:hAnsi="Google Sans"/>
          <w:sz w:val="24"/>
          <w:szCs w:val="24"/>
          <w:u w:val="single"/>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Botium Toys need to adhere to international standards and regulations such as GDPR and PCI-DSS to avoid any legal penalties in case of any incident. Use Encryption techniques and Access controls to avoid any incidents. Have proper disaster recovery plans and backups of critical assets. Use a strong password policy and a centralized password management system to avoid security breaches. Need to have a proper and regular schedule to monitor and maintain legacy systems along with having proper intervention methods.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