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Risk governance and model-oversight professional with ~7 years of experience in independent review, issue escalation, and controls remediation, pursuing the Head of the Canada Risk Office mandate at Capital One Canada. Holds delegated sign-off authority over institutional analytics ($5-25bn per engagement) within a formal model governance framework, escalates and remediates control gaps, and closed a governance audit finding through a controlled Python migration. Cross-functional coordination experience spans finance, risk, IT, and actuarial stakeholders on regulatory transformation programs (IFRS 17/IFRS 9). CFA charterholder;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Governance &amp; Control Frameworks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&amp; Independent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Issue Identification, Escalation &amp; Remediation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Methodology, Documentation &amp; Benchmarking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Process Controls &amp; Auditability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Governance Audit Remediation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Change Implementation (IFRS 17 / IFRS 9)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Metrics &amp; Executive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Stakeholder Coordination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Process Management, Improvement &amp; Python Automation of Manual Workflows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Governance, Oversight &amp; Independent Challenge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multi-asset institutional portfolios of $5-25bn per engagement (~$50bn+ cumulative), applying independent review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 governance framework, validating assumptions and economic defensibility to documentation standards consistent with SR 11-7 and OSFI E-23 expectations.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Issue Escalation, Remediation &amp; Control Closure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Escalates outputs lacking mathematical or economic defensibility and serves as escalation point for client-critical analytical issues, interfacing with clients'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a client release for 48 hours after portfolio sensitivities passed internal checks but failed economic review, traced the defect to a curve-calibration edge case, escalated to product owners and the client's Head of Risk, and embedded the fix in permanent validation tests.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a spreadsheet-driven valuation workflow into a logged, version-controlled Python pipeline, running two shadow-mode reconciliation cycles before cutover and closing the open governance audit item.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Risk Metrics, Reporting &amp; Process Improvement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senior stakeholders on interest-rate exposure, scenario impacts, and balance-sheet sensitivities, translating quantitative output into committee-ready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of an enterprise multi-asset cash flow projection engine supporting base, stress, and reverse-stress scenarios, with time-bucketed liquidity metrics from T+1 through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and PFaroe PM analytics platforms;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scoping requirements into development requests and completing migration of all assigned accounts off the legacy Calypso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new regulatory requirements with system implementation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IT, finance, and program management functions on IFRS 17 and IFRS 9 adoption; contributed to governance documentation and regulatory compliance readiness processes for financial institutions.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PM teams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Designed stochastic risk-management frameworks tailored to client mandates and built economic scenario generators used to stress test funding volatility and interest-rate exposure under base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on a three-person team, developing and validating the model capturing all funding policy dynamics.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to investment committees at Canadian pension 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