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0" w:line="240" w:lineRule="auto"/>
      </w:pPr>
      <w:r>
        <w:rPr>
          <w:rFonts w:ascii="Avenir Next LT Pro" w:hAnsi="Avenir Next LT Pro" w:cs="Avenir Next LT Pro"/>
          <w:b/>
          <w:i w:val="0"/>
          <w:color w:val="1A1A1A"/>
          <w:sz w:val="38"/>
        </w:rPr>
        <w:t>Saber Ayatollahi</w:t>
      </w:r>
      <w:r>
        <w:rPr>
          <w:rFonts w:ascii="Avenir Next LT Pro" w:hAnsi="Avenir Next LT Pro" w:cs="Avenir Next LT Pro"/>
          <w:b w:val="0"/>
          <w:i w:val="0"/>
          <w:color w:val="1A1A1A"/>
          <w:sz w:val="22"/>
        </w:rPr>
        <w:t>, CFA, MSc</w:t>
      </w:r>
    </w:p>
    <w:p>
      <w:pPr>
        <w:spacing w:before="0" w:after="80" w:line="240" w:lineRule="auto"/>
      </w:pPr>
      <w:r>
        <w:rPr>
          <w:rFonts w:ascii="Avenir Next LT Pro" w:hAnsi="Avenir Next LT Pro" w:cs="Avenir Next LT Pro"/>
          <w:b w:val="0"/>
          <w:i w:val="0"/>
          <w:color w:val="1A1A1A"/>
          <w:sz w:val="19"/>
        </w:rPr>
        <w:t>Toronto, Canada  •  +1 (416) 856-1276  •  saber.ayatollahi@gmail.com  •  www.linkedin.com/in/sayatollahi</w:t>
      </w:r>
    </w:p>
    <w:p>
      <w:r>
        <w:t>August 23, 2026</w:t>
      </w:r>
    </w:p>
    <w:p>
      <w:r>
        <w:t>Re: Head of the Canada Risk Office — Capital One</w:t>
      </w:r>
    </w:p>
    <w:p>
      <w:r>
        <w:t>Dear Hiring Team,</w:t>
      </w:r>
    </w:p>
    <w:p>
      <w:r>
        <w:t>At Moody's Analytics I hold delegated sign-off authority over the valuation, sensitivity, and ALM analytics delivered to institutional portfolios of $5-25bn per engagement — I am the person who releases the output or holds it back. That is independent process ownership in concrete form: understand how the analytics are built, test whether the controls around them hold, and be accountable when the numbers do not look right under a client's Head of Risk. It is the same discipline of ownership and accountability that a Canada Risk Office is built around, and it is why I am applying for the Head of the Canada Risk Office role.</w:t>
      </w:r>
    </w:p>
    <w:p>
      <w:r>
        <w:t>Three parts of my current mandate map onto yours. Governance: I sit on Moody's model governance committee, which sets methodology review, documentation, and benchmarking standards for client-delivered analytics. Risk events: when portfolio sensitivities passed every internal check but failed economic review, I held the release for 48 hours, traced the defect to a curve-calibration edge case, escalated to product owners and the client's Head of Risk, and had the fix captured in permanent validation tests. Control remediation: I migrated a spreadsheet-driven valuation workflow into a logged, version-controlled Python pipeline, ran two shadow-mode reconciliation cycles, and closed the open governance audit finding.</w:t>
      </w:r>
    </w:p>
    <w:p>
      <w:r>
        <w:t>Regulatory change execution is the other half of my background: at EY I delivered IFRS 17 and IFRS 9 transformation for Canadian and international insurers, translating new regulatory requirements into documented processes and readiness plans across actuarial, finance, IT, and program-management stakeholders. What draws me to Capital One Canada is the 1B construct — a first line that owns its risks directly instead of deferring judgment upward. My governance depth to date has been in quantitative and financial-reporting risk processes rather than consumer-card operations, and I would bring the same escalation and control discipline while building card-specific process fluency quickly. I am Toronto-based, available to interview immediately, comfortable with the three-day hybrid model, and able to start roughly four weeks after offer acceptance. Thank you for your consideration.</w:t>
      </w:r>
    </w:p>
    <w:p>
      <w:r>
        <w:t>Sincerely,</w:t>
      </w:r>
    </w:p>
    <w:sectPr w:rsidR="00FC693F" w:rsidRPr="0006063C" w:rsidSect="00034616">
      <w:pgSz w:w="12240" w:h="15840"/>
      <w:pgMar w:top="720" w:right="864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venir Next LT Pro" w:hAnsi="Avenir Next LT Pro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