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Model validation and model risk governance specialist with ~7 years of quantitative model development, validation, and governance experience, applying for the Associate Director, Enterprise Model Risk Management role at RBC. Holds delegated sign-off authority at Moody's Analytics on valuation, sensitivity, and ALM outputs for institutional portfolios of $5-25bn per engagement (~$50bn+ cumulative), and sits on the model governance committee shaping methodology, documentation, and benchmarking standards for client-delivered analytics. Proficient Python and SQL practitioner with Monte Carlo and stress-testing depth; CFA charterholder with dual MSc degrees in Financial Modelling and Chemical Engineering. OSFI E-23 / SR 11-7-aligned model-governance awareness.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 &amp; Independent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Governance (OSFI E-23-aligned / SR 11-7-aligned)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Documentation &amp; Benchmarking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Performance Assessment &amp;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(PostgreSQL) &amp; Data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Risk Analytics (VaR / 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Validation Reporting to Senior Stakeholders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Git / Version Control &amp; CI/CD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Stakeholder Consensus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Model Review, Testing &amp; Challenge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for multi-asset institutional portfolios ($5-25bn per engagement; 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cross-checking sensitivity consistency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ALM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- held one client release 48 hours until a curve-calibration edge case was diagnosed, remediated upstream, and captured in standing validation tests.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Documentation &amp; Validation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as a member of the model governance committee to methodology review, model documentation and benchmarking standards, and model 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Operated within a formal model governance framework - assessing assumptions, testing economic defensibility, and building documentation standards consistent with SR 11-7 and OSFI E-23-style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Produced analytical summaries for senior stakeholders on scenario impacts and balance-sheet sensitivities, converting quantitative findings into conclusions and recommendations for Heads of Risk and investment committees.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Development, Python &amp; Data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controls; ran shadow-mode reconciliation for two cycles before cutover.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reducing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ALM) and PFaroe PM (portfolio management) platforms;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structured development requests, working between client stakeholders and product owners to reach agreed specifications.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processes; coordinated across actuarial, finance, IT, and risk functions on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(Monte Carlo)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