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23, 2026</w:t>
      </w:r>
    </w:p>
    <w:p>
      <w:r>
        <w:t>Re: Associate Director, Enterprise Model Risk Management — RBC</w:t>
      </w:r>
    </w:p>
    <w:p>
      <w:r>
        <w:t>Dear Hiring Team,</w:t>
      </w:r>
    </w:p>
    <w:p>
      <w:r>
        <w:t>At Moody's Analytics I hold delegated sign-off authority on valuation, sensitivity, and ALM outputs for multi-asset institutional portfolios ($5-25bn per engagement, ~$50bn+ cumulative) and sit on the model governance committee that sets methodology, documentation, and benchmarking standards for client-delivered analytics. That independent-review discipline - assessing assumptions, testing outputs for economic defensibility, and documenting conclusions defensible to senior stakeholders - is the muscle the Associate Director, Enterprise Model Risk Management role asks candidates to bring on day one. I would like to be considered for this role within Group Risk Management.</w:t>
      </w:r>
    </w:p>
    <w:p>
      <w:r>
        <w:t>My day-to-day mandate is a validation mandate: reviewing model documentation and assumptions, testing data inputs and outputs, reviewing curve construction and spread calibration, cross-checking sensitivities at portfolio-level aggregates, and evaluating behaviour under base, stress, and reverse-stress scenarios. When an output is mathematically defensible but economically unsupported, I escalate - on one delivery I held a client release for 48 hours until a curve-calibration edge case was diagnosed, remediated upstream, and captured in standing validation tests. The bench behind that work is Python and SQL: an enterprise multi-asset cash-flow projection engine I designed and delivered at Moody's, spreadsheet workflows migrated to auditable pipelines, and stochastic Monte Carlo scenario generators built earlier at Ortec Finance. My validation depth is in valuation, ALM, and market-risk models rather than retail credit scorecards; building hands-on depth in logistic-regression and machine-learning credit-scoring techniques is the specific stretch I would bring energy to within RBC's model inventory, backed by the quantitative rigor of my CFA charter and dual MSc training.</w:t>
      </w:r>
    </w:p>
    <w:p>
      <w:r>
        <w:t>I am based in Toronto, hold the CFA charter and dual MSc degrees in Financial Modelling and Chemical Engineering, and am available to interview immediately with a start roughly four weeks after an offer.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