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Multi-asset investment professional with ~7 years across portfolio analytics, model governance, and investment platform delivery, targeting Director &amp; Portfolio Manager, On Strategy Portfolio - Toronto. Holds delegated sign-off on valuation, sensitivity, and portfolio risk outputs for institutional portfolios of $5-25bn per engagement at Moody's Analytics. Brings VaR/CVaR portfolio optimization and asset mix advisory from Ortec Finance, model governance committee membership, and delivery of all assigned client migrations onto the PFaroe PM portfolio management platform.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Multi-Asset Portfolio Analytics &amp; Risk Oversight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Optimization (VaR / CVaR, Surplus)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Asset Mix &amp; Allocation Analysis (SAA / TAA)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Governance &amp; Independent Review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Investment Risk Management &amp; Governance Controls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Cash Flow Projection &amp; Liquidity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Investment Platform Migration (Calypso to PFaroe PM)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Python, SQL &amp; Process Automation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Cross-Functional Leadership &amp; Mentorship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Portfolio Analytics Oversight &amp; Model Governance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Held delegated sign-off authority on valuation, sensitivity, and portfolio-level outputs for multi-asset institutional client portfolios of $5-25bn per engagement (~$50bn+ cumulative), independently reviewing curve construction, spread calibration, and cross-asset interactions before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on the model governance committee, contributing to methodology review, documentation and benchmarking standards, and model-performance assessment for client-delivered portfolio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Validated derivatives pricing outputs across rates, FX, and inflation, confirming sensitivity consistency at portfolio-aggregate level.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Process Controls, Risk Management &amp; Escalation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Escalated outputs lacking mathematical or economic defensibility and acted as escalation point for client-critical analytical issues, interfacing directly with clients' Heads of Risk and investment stakeholders.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analytics pipelines with embedded logging, validation, and auditability controls, supporting model-governance audit requirements.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Operational &amp; Technology Change Delivery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covering base, stress, and reverse-stress scenarios, delivering forward-looking visibility across portfolio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 supporting funding optimization, refinancing-risk assessment, and asset-allocation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and anomaly detection, driving process improvement that cut development cycle time an estimated 30-40% on comparable modules.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Centre of Investment Expertise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on interest-rate exposure, scenario impacts, and balance-sheet sensitivities, translating quantitative outputs into investment-committee-ready narratives.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adopting PFaroe DB (risk &amp; ALM analytics) and PFaroe PM (portfolio management) platforms.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Migrated all assigned client accounts from the legacy Calypso platform to PFaroe PM, validating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Translated investment-team requirements into scoped Product Owner requests and advised clients on asset, liability, and portfolio configurations.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actuarial, finance, IT, risk, and program-management teams on milestone delivery, governance documentation, and regulatory-readiness processes.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platform, with risk decomposition, contribution-to-risk budgeting, and near-optimal frontier analysis to test the robustness of allocation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institutional clients on strategic and tactical asset mix trade-offs via stress testing and sensitivity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interest-rate risk and funding volatility under base-case and stressed market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liability-driven investment (LDI) analysis weighing return objectives, duration alignment, and liquidity considerations for pension-fund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the client onboarding and ALM study for a three-plan university pension merger, developing and validating the model as part of a three-person team - capturing all funding-policy dynamics and evaluating duration, currency, inflation, and leverage overlay strategies.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study findings and allocation recommendations on-site to investment committees at Canadian pension-fund clients.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