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23, 2026</w:t>
      </w:r>
    </w:p>
    <w:p>
      <w:r>
        <w:t>Re: Director &amp; Portfolio Manager, On Strategy Portfolio — Scotiabank</w:t>
      </w:r>
    </w:p>
    <w:p>
      <w:r>
        <w:t>Dear Hiring Team,</w:t>
      </w:r>
    </w:p>
    <w:p>
      <w:r>
        <w:t>At Moody's Analytics I hold delegated sign-off authority on valuation, sensitivity, and portfolio-level outputs for multi-asset institutional portfolios of $5-25bn per engagement, operating under the same accuracy, controls, and escalation discipline that a program managing billions of dollars in client assets requires. I would like to be considered for the Director &amp; Portfolio Manager, On Strategy Portfolio role in Global Wealth Management.</w:t>
      </w:r>
    </w:p>
    <w:p>
      <w:r>
        <w:t>My work sits at the intersection of investment expertise and portfolio operations. On the operations and technology side, I migrated all my assigned client accounts from a legacy Calypso environment onto the PFaroe PM portfolio management platform, scoping investment-team requirements into Product Owner requests and validating outputs post-deployment; I have also rebuilt spreadsheet-based workflows into Python pipelines with embedded logging, validation, and auditability controls to satisfy model-governance review. On the investment side, I sit on Moody's model governance committee, and at Ortec Finance I ran asset-only and surplus portfolio optimization on VaR and CVaR, risk decomposition and contribution-to-risk budgeting, and strategic and tactical asset mix advisory - presenting recommendations directly to pension investment committees. I also designed a multi-scenario cash flow projection and liquidity-gap engine supporting funding and asset-allocation decisions across horizons.</w:t>
      </w:r>
    </w:p>
    <w:p>
      <w:r>
        <w:t>What draws me to this mandate is the centre-of-excellence framing: a team that must execute with discipline, own its platform roadmap, and be the investment authority the field turns to. The governance and escalation seat I have held for clients' Heads of Risk for four years - where I am the point of contact when numbers are defensible on paper but wrong in economic substance - maps closely onto that mandate. I led the modelling effort as part of a three-person team on a pension-plan merger, and I mentor junior colleagues day to day; taking on formal leadership of a larger team is a deliberate next step, and one I would approach seriously. I hold the CFA charter and dual MSc degrees from Western University.</w:t>
      </w:r>
    </w:p>
    <w:p>
      <w:r>
        <w:t>I am Toronto-based, available to interview immediately, and can start approximately four weeks after offer acceptance.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