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r>
        <w:t>August 23, 2026</w:t>
      </w:r>
    </w:p>
    <w:p>
      <w:r>
        <w:t>Re: VP Client Experience Advanced Insights and Value — TD Bank</w:t>
      </w:r>
    </w:p>
    <w:p>
      <w:r>
        <w:t>I build and operationalize the machinery that turns scattered signals into a single, defensible source of truth. At Moody's Analytics I led the design and delivery of an enterprise multi-scenario cash-flow projection engine that gives institutional clients forward-looking insight across multi-year horizons, and I hold delegated sign-off authority on the analytics it produces. That build-it-then-stand-behind-it discipline is the core of the Client Insights Factory described in the VP Client Experience Advanced Insights and Value mandate, and it is why I am applying.</w:t>
      </w:r>
    </w:p>
    <w:p>
      <w:r>
        <w:t>Three parts of my record map onto the accountabilities. First, integration and prioritization: I review the aggregation logic that consolidates security-level portfolio data into one consistent, decision-ready view, and I built the time-bucketed analytics clients use to rank funding, refinancing, and allocation actions by financial impact. Second, practitioner-level predictive and AI capability: stochastic scenario generation and VaR/CVaR risk decomposition at Ortec Finance, and agentic AI workflows at Moody's (Claude Code, Cursor) that automate anomaly detection, validation scaffolding, and documentation, cutting development cycle time an estimated 30-40%. Third, credibility with the people who fund the work: I participate in a model governance committee, escalate and drive root-cause diagnosis on client-critical analytical issues with clients' Heads of Risk, and have presented findings directly to investment committees.</w:t>
      </w:r>
    </w:p>
    <w:p>
      <w:r>
        <w:t>What draws me to TD is the explicit ambition to make client intelligence a single source of truth rather than a reporting layer, and to build it with AI and agentic enablement from the outset. I will be direct about the shape of my experience: my analytics have been pointed at institutional balance-sheet and portfolio outcomes rather than Voice-of-Customer signals, so I would expect to spend early months learning TD's VOC estate alongside CX Measurement and Research — the discipline of integrating sources, governing a taxonomy, and defending the number to executives transfers intact. I am Toronto-based, available to interview immediately, and can start roughly four weeks after acceptance.</w:t>
      </w:r>
    </w:p>
    <w:p>
      <w:r>
        <w:t>Sincerely,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