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Portfolio and market risk analytics specialist bringing ~7 years of institutional risk experience to ATB Financial's Managing Director, Portfolio Analysis and Strategic Initiatives mandate. Holds delegated sign-off at Moody's Analytics over valuation, sensitivity, and balance-sheet risk outputs for institutional portfolios of $5-25bn per engagement, including portfolio-level risk aggregation review and senior-stakeholder risk commentary. Designed an enterprise multi-scenario stress and cash flow projection engine, ran VaR/CVaR portfolio optimization and risk decomposition at Ortec Finance, and replaced manual spreadsheet workflows with Python pipelines. CFA charterholder, dual MSc, model governance committee member.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Institutional Portfolio &amp; Market Risk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Portfolio Risk Aggregation &amp; Reporting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Scenario Design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VaR / CVaR &amp; Risk Decomposition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Banking Book Interest-Rate &amp; Balance Sheet Risk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Derivatives Pricing Validation &amp; Sensitivity Review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Governance, Review &amp; Challenge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Python, SQL &amp; Risk Data Pipelines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Executive &amp; Committee-Level Risk Communication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Director, Modelling Services (Investment &amp; ALM Risk)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Top-of-House Portfolio Analysis &amp; Executive Reporting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balance sheet risk outputs for multi-asset institutional portfolios of $5-25bn per engagement (~$50bn+ cumulative), independently reviewing curve construction, spread calibration, and cross-asset interactions before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 aggregation logic converting security-level exposures into portfolio-level risk metrics feeding downstream ALM and capital processes.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Produce analytical summaries and risk reporting for senior stakeholders covering interest-rate exposure, scenario impacts, and balance sheet sensitivities, translating quantitative output into committee-ready commentary.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Stress Testing, Scenario Design &amp; Market Risk Analysis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 analysis across multi-year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gap analytics (T+1 through multi-year) enabling funding optimization, refinancing risk assessment, and asset-allocation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Oversee interest-rate and duration analysis under parallel and non-parallel rate shocks across banking book exposures, aligned with IRRBB standards analogous to Basel / OSFI B-12, and embed behavioral cash flow, prepayment, and macro stress overlays.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Risk Infrastructure, Data Pipelines &amp; Governance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 derivatives pricing outputs across rates, FX, and inflation, cross-checking sensitivity consistency at portfolio-level ALM aggregates and escalating outputs lacking economic defensibility.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analytics pipelines with embedded logging, validation, and auditability controls.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 on the model governance committee, contributing to methodology review, benchmarking and documentation standards, and model-performance assessment for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and anomaly detection, cutting development cycle time an estimated 30-40% on comparable modules.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DB (risk &amp; ALM analytics) and PFaroe PM (portfolio management) platforms.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Acted as technical liaison between client investment teams and product/development functions, scoping requirements into development requests, validating model outputs post-deployment, and migrating all assigned accounts off the legacy Calypso environment.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Consultant,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regulatory transformation projects for Canadian and international insurers, aligning regulatory requirements with system implementation and financial 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actuarial, finance, IT, risk, and program-management functions on milestone delivery, governance documentation, and regulatory-readiness processes.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Consultant,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platform, with risk decomposition, contribution-to-risk budgeting, and near-optimal frontier analysis to test allocation robustness.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quantifying interest-rate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 and institutional investors, analyzing funding ratios, duration mismatch, and long-term balance sheet risk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cash flow, liquidity, and hedging analysis across interest-rate, inflation, and currency risk for international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portfolio analysis and stress-test findings to pension-fund investment committees on-site, including a three-plan university pension merger where a team of three developed and validated the funding-policy model.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