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24, 2026</w:t>
      </w:r>
    </w:p>
    <w:p>
      <w:r>
        <w:t>Re: Managing Director, Portfolio Analysis and Strategic Initiatives — ATB Financial</w:t>
      </w:r>
    </w:p>
    <w:p>
      <w:r>
        <w:t>Dear Hiring Team,</w:t>
      </w:r>
    </w:p>
    <w:p>
      <w:r>
        <w:t>The Portfolio Analysis and Strategic Initiatives mandate ATB is standing up sits close to work I already do: at Moody's Analytics I led the design of an enterprise multi-asset cash flow projection and stress engine, replacing a manual spreadsheet baseline, and I hold delegated sign-off on valuation, sensitivity, and balance-sheet risk outputs for institutional portfolios of $5-25bn per engagement. I would like to be considered for the Managing Director, Portfolio Analysis and Strategic Initiatives role reporting to the AVP of Enterprise Market Risk.</w:t>
      </w:r>
    </w:p>
    <w:p>
      <w:r>
        <w:t>My mandate at Moody's runs parallel to the top-of-house work described in this role. I independently review curve construction, spread calibration, and cross-asset interactions before release; I review the aggregation logic that turns security-level exposures into portfolio-level risk metrics; and I prepare the commentary that senior stakeholders and Heads of Risk actually use to make decisions on scenario impacts and rate sensitivities. On the infrastructure side, I re-engineered manual spreadsheet workflows into auditable Python pipelines and sit on Moody's model governance committee, where methodology review, benchmarking standards, and model-performance assessment are recurring agenda items. Earlier, at Ortec Finance, I ran asset-only and surplus portfolio optimization on VaR and CVaR with risk decomposition and contribution-to-risk budgeting, built stochastic economic scenario generators, and presented findings to pension-fund investment committees. EY added cross-functional delivery experience: IFRS 17 and IFRS 9 transformation across actuarial, finance, IT, and risk functions.</w:t>
      </w:r>
    </w:p>
    <w:p>
      <w:r>
        <w:t>What attracts me to this specific mandate is that it is a build, not a maintenance seat, and it spans both books. My depth is concentrated on the banking book and institutional-investment side rather than the trading desk; I would come in ready to learn ATB's Murex and DEEP/BigQuery environment, with the platform and modelling work I have done across PFaroe delivery, the Calypso-to-PFaroe migration, and Ortec's GLASS optimization engine as the transferable foundation.</w:t>
      </w:r>
    </w:p>
    <w:p>
      <w:r>
        <w:t>I am based in Toronto, can accommodate ATB's on-site expectations, and am available for interviews immediately, with a start roughly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