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ALM Director, Consultant candidate with ~7 years developing and validating asset-liability and liability-driven investing models for institutional pension and multi-asset portfolios at Moody's Analytics and Ortec Finance, complemented by insurance-sector regulatory transformation experience (IFRS 17 / IFRS 9) at EY. Holds delegated sign-off authority on valuation, sensitivity, and ALM outputs for multi-asset portfolios of $5-25bn per engagement; led design of an enterprise multi-scenario cash flow projection engine; and ran VaR/CVaR portfolio optimization, strategic asset allocation, and stochastic scenario analysis for institutional mandates. CFA charterholder with dual MSc and advanced Python.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Asset-Liability Management (ALM)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Liability-Driven Investing (LDI)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Strategic Asset Allocation (SAA)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Portfolio Optimization (VaR / CVaR)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Monte Carlo Simulation &amp; Stochastic Scenario Generation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Cash Flow Projection &amp; Balance-Sheet Modelling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Pension Actuarial Liability Modelling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Duration &amp; Key-Rate Duration (KRD)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Interest Rate &amp; Liquidity Risk Measurement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Interest Rate, Inflation &amp; Currency Hedging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Stress Testing &amp; Scenario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IFRS 17 / IFRS 9 Insurance Regulatory Transformation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(pandas, NumPy, SciPy) &amp; SQL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Enterprise ALM Platform Onboarding &amp; Client Advisory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- Modelling Services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ALM Model Development &amp; Production Processes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 flow projection engine supporting base, stress, and reverse-stress scenarios, delivering forward-looking liquidity visibility across ALM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Architected configurable time-bucketed liquidity gap analytics (T+1 through multi-year) enabling funding optimization, refinancing risk assessment, and asset allocation decisions.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Embedded behavioural cash flow assumptions, prepayment logic, and macro stress overlays aligned with regulatory liquidity expectations and executive contingency planning.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production-quality Python analytics pipelines with logging, validation, and auditability controls, using agentic AI development workflows (Claude Code, Cursor) that cut development cycle time an estimated 30-40% on comparable modules.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Investment Risk Measurement &amp; Analytical Sign-Off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Held delegated sign-off authority on valuation, sensitivity, and ALM outputs for multi-asset institutional portfolios of $5-25bn per engagement (~$50bn+ cumulative), independently reviewing curve construction, spread calibration, and cross-asset interactions before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Measured interest rate exposure and duration positioning under parallel and non-parallel rate shocks, and reviewed aggregation logic converting security-level exposures into portfolio-level risk metrics feeding downstream ALM and capital processes.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Validated derivatives pricing outputs across rates, FX, and inflation, confirming sensitivity and scenario consistency at portfolio-level ALM aggregates.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Served on the model governance committee covering methodology review, documentation and benchmarking standards, and model-performance assessment for client-delivered analytics.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Client Advisory &amp; Communication of Complex ALM Concepts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Escalated outputs lacking mathematical or economic defensibility and acted as escalation point for client-critical analytical issues, interfacing with clients' Heads of Risk and investment stakeholders.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Prepared analytical summaries for senior stakeholders on interest rate exposure, scenario impacts, and balance-sheet sensitivities, translating quantitative output into investment-committee-ready narratives.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2022 - May 2023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Platform Onboarding &amp; Implementation Services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migrating onto PFaroe DB (risk &amp; ALM analytics) and PFaroe PM (portfolio management).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Acted as technical liaison between client investment teams and product owners, advising on asset, liability, and ALM configurations, scoping requirements into development requests, and validating model outputs post-deployment.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Contributed to the successful migration of all assigned client accounts from a legacy Calypso environment to PFaroe PM, reconciling post-deployment output against client requirements.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- IFRS &amp; Financial Risk Transformation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transformation projects for Canadian and international insurance clients, aligning regulatory reporting requirements with system implementation and financial-reporting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actuarial, IT, finance, and program-management functions on IFRS 17 / IFRS 9 adoption; contributed to governance documentation and regulatory readiness, and developed advisory product offerings and go-to-market collateral.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- Asset-Liability Management &amp;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studies and liability-driven investment (LDI) analysis for Canadian and international pension funds and institutional investors, analyzing funding ratios, duration mismatch, and long-term balance-sheet risk exposures.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(surplus) portfolio optimization on VaR and CVaR using Ortec's GLASS platform, with risk decomposition, contribution-to-risk budgeting, and near-optimal frontier analysis to test robustness of allocation recommendations.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assessing interest rate risk and funding volatility under base-case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clients on strategic asset allocation (SAA) and tactical asset allocation trade-offs through stress testing and sensitivity analysis, and designed stochastic risk-management frameworks for specific client mandates.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Modelled pension-fund actuarial liabilities alongside all major investment-product types and economic variables, and performed cash flow, liquidity, and hedging analysis across interest rate, inflation, and currency exposures.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the ALM study for a three-plan university pension merger on a team of three, developing and validating the model capturing all Funding Policy dynamics and evaluating duration, currency, inflation, and leverage overlay strategies; presented findings to client investment committees on-site.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