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August 25, 2026</w:t>
      </w:r>
    </w:p>
    <w:p>
      <w:r>
        <w:t>Re: ALM Director, Consultant — Aon</w:t>
      </w:r>
    </w:p>
    <w:p>
      <w:r>
        <w:t>Dear Hiring Team,</w:t>
      </w:r>
    </w:p>
    <w:p>
      <w:r>
        <w:t>For the past four years at Moody's Analytics I have delivered, configured, and validated the multi-asset ALM analytics platform that institutional clients run their balance-sheet decisions on: onboarding U.S. and Canadian pension funds, asset managers, and consulting firms onto PFaroe DB and PFaroe PM, and moving every assigned account off a legacy Calypso environment. That onboarding, configuration, and troubleshooting motion closely mirrors what PathWise migrations demand, and it is why I am applying for the ALM Director, Consultant role in Global Life Risk Modelling.</w:t>
      </w:r>
    </w:p>
    <w:p>
      <w:r>
        <w:t>On the development side, I led the design and implementation of an enterprise multi-asset cash flow projection engine supporting base, stress, and reverse-stress scenarios, with configurable time-bucketed liquidity gap analytics and embedded behavioural cash flow assumptions. I hold delegated sign-off authority on valuation, sensitivity, and ALM outputs for portfolios of $5-25bn per engagement, reviewing curve construction, spread calibration, and duration positioning under parallel and non-parallel rate shocks before release, and I sit on the model governance committee. Earlier, at Ortec Finance, I ran asset-only and surplus portfolio optimization on VaR and CVaR through the GLASS platform, built stochastic economic scenario generators, modelled pension-fund actuarial liabilities, and advised pension investment committees on strategic asset allocation, LDI, and duration, inflation, and currency overlay strategies.</w:t>
      </w:r>
    </w:p>
    <w:p>
      <w:r>
        <w:t>My insurance grounding comes from IFRS 17 and IFRS 9 transformation delivery at EY, where I aligned actuarial, finance, and IT functions on reporting-basis mechanics for Canadian and international insurers. I have not sat inside a Bermuda BSCR/EBS reporting cycle, and my ALM depth to date has centered on pension and multi-asset institutional mandates rather than life-insurance balance sheets; what I bring is the ALM, optimization, and stochastic-projection machinery underneath it, plus a demonstrated record of absorbing an unfamiliar regulatory reporting basis quickly and building production processes around it.</w:t>
      </w:r>
    </w:p>
    <w:p>
      <w:r>
        <w:t>Aon Life Solutions is one of the few places where platform delivery, stochastic ALM modelling, and client advisory sit in the same seat, which is the combination I have spent seven years assembling. I am Toronto-based, available to interview immediately, and can start roughly four weeks after offer acceptance. References available on request.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