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Manager, Risk and Compliance Transformation candidate for KPMG's Governance, Risk and Compliance Services (GRCS) practice, bringing roughly 7 years across financial-institution risk governance, regulatory transformation, and advisory delivery. Delivered IFRS 17/IFRS 9 governance documentation and regulatory-readiness work for Canadian insurers at EY, including go-to-market collateral supporting practice business development. Currently a member of Moody's Analytics' model governance committee, holding delegated sign-off on analytics for institutional portfolios ($5-25bn per engagement) - independent review, documentation, and escalation discipline transferable to enterprise risk and compliance frameworks. CFA, dual MSc; working proficiency in Python, SQL, and agentic-AI tooling (Claude Code, Cursor).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&amp; Regulatory Transformation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Framework Design (ALM/Investment) &amp; Independent Model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Committee Participation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Documentation &amp; Auditability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Readiness (IFRS 17 / IFRS 9)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Analytics Platform Implementation &amp; Configuration (PFaroe/Calypso)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Requirements Scoping &amp; Product/Dev Liaison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 Platforms &amp; Agentic Workflows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Analytics - Python, SQL,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Coordination (Risk, Finance, Actuarial, IT)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Committee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Engagement &amp; Business Development Support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Governance &amp; Independent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 -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of $5-25bn per engagement (~$50bn+ cumulative), performing independent review and challenge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governance framework - validating assumptions, assessing economic defensibility, and building governance documentation and auditability standards consistent with model risk management guidance (OSFI E-23 / SR 11-7 style).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support and act as escalation point for client-critical issues, interfacing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Technology, AI &amp; Data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workflows on AI platforms (Claude Code, Cursor IDE) automating code generation, validation scaffolding, anomaly detection, and documentation -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processes into scalable Python data-analytics pipelines with embedded logging, validation, and audit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ALM horizons.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Reporting &amp; Client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 audiences on interest-rate exposure, scenario impacts, and balance-sheet sensitivities - translating quantitative output into 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across multiple client engagements for U.S. and Canadian pension funds, asset managers, and consulting firms adopting the PFaroe DB (risk &amp; ALM analytics) and PFaroe PM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Scoped client requirements into Product Owner development requests and migrated all assigned accounts off the legacy Calypso platform,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engagements for Canadian and international insurance clients -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standard adoption; contributed to governance documentation and regulatory readiness processes for financial institutions.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 supporting practice business development.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PM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stochastic risk-management frameworks tailored to specific client mandates for Canadian and international pension funds and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liability-driven investment studies analyzing funding ratios, duration mismatch, and long-term balance-sheet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- on a team of three developing and validating the model capturing all Funding Policy dynamics.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