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25, 2026</w:t>
      </w:r>
    </w:p>
    <w:p>
      <w:r>
        <w:t>Re: Manager, Risk and Compliance Transformation — KPMG Canada</w:t>
      </w:r>
    </w:p>
    <w:p>
      <w:r>
        <w:t>At EY, I delivered IFRS 17 and IFRS 9 governance documentation and regulatory-readiness workstreams for Canadian and international insurers - regulatory transformation work that sits adjacent to what KPMG's Risk and Compliance Transformation team delivers across financial institutions. Since then, I have spent roughly four years on the practitioner side of risk governance at Moody's Analytics, sitting on its model governance committee. I would like to be considered for the Manager, Risk and Compliance Transformation role within GRCS.</w:t>
      </w:r>
    </w:p>
    <w:p>
      <w:r>
        <w:t>At EY I advised actuarial, finance, IT, and program-management functions on IFRS 17/IFRS 9 adoption, built governance documentation and regulatory-readiness processes, and developed the advisory product offerings and go-to-market collateral behind the practice's business development. Earlier, at Ortec Finance, I designed stochastic risk-management frameworks for pension funds and institutional investors and presented findings to investment committees. At Moody's Analytics I hold delegated sign-off authority on valuation, sensitivity, and ALM outputs for institutional portfolios of $5-25bn per engagement, sit on the model governance committee reviewing methodology and documentation standards, and escalate outputs that are mathematically defensible but economically unsupported. I have also implemented and validated enterprise ALM analytics platforms for pension funds and asset managers, converted spreadsheet processes into auditable Python pipelines, and built agentic-AI workflows using Claude Code and Cursor that cut development cycle time an estimated 30-40%.</w:t>
      </w:r>
    </w:p>
    <w:p>
      <w:r>
        <w:t>What draws me to GRCS is the mandate to operationalize risk and compliance functions rather than only document them - review, design, and integration work spanning the three lines of defence. My depth today sits in model governance and regulatory transformation; the enterprise/operational risk and control-testing domains are where I want to widen, and the advisory-to-practitioner-to-advisory arc means I can speak to both the client's problem and the practitioner's answer in the same room. I hold the CFA charter and dual MSc degrees from Western University, and bring roughly seven years of financial-institution experience. I am Toronto-based, available for interviews immediately, and can start approximately four weeks after offer acceptance. References available on request.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