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25, 2026</w:t>
      </w:r>
    </w:p>
    <w:p>
      <w:r>
        <w:t>Re: Financial Engineer truView VP — State Street</w:t>
      </w:r>
    </w:p>
    <w:p>
      <w:r>
        <w:t>Dear Hiring Team,</w:t>
      </w:r>
    </w:p>
    <w:p>
      <w:r>
        <w:t>For four years at Moody's Analytics I have worked inside the modelling function of a multi-asset analytics platform delivered as a service to institutional clients — the same operating model as truView — holding delegated sign-off authority on valuation and sensitivity outputs for client portfolios of $5-25bn per engagement. I would like to be considered for the Financial Engineer (VP), truView role.</w:t>
      </w:r>
    </w:p>
    <w:p>
      <w:r>
        <w:t>Day to day that means reviewing exactly the pieces a Financial Engineering team owns: derivatives pricing outputs across rates, FX, and inflation; the curve construction and spread calibration that feed them; and the aggregation logic that converts instrument-level analytics into portfolio-level risk metrics. I sit on the model governance committee, which sets methodology review, documentation, and benchmarking standards, and I am the escalation point when an output is mathematically clean but economically indefensible — a call I have made under client deadline pressure. On the build side, I led the design of a multi-asset cash-flow projection engine covering base, stress, and reverse-stress scenarios, and re-engineered spreadsheet and VBA workflows into Python pipelines with logging, validation, and auditability controls. I also know the spec-to-developer loop from both ends: during the Calypso-to-PFaroe migration I translated client investment teams' requirements into structured development requests, then validated model outputs post-deployment.</w:t>
      </w:r>
    </w:p>
    <w:p>
      <w:r>
        <w:t>Earlier, at Ortec Finance, I built and interpreted stochastic economic scenario generators, ran VaR/CVaR portfolio optimization with risk decomposition, and presented results to investment committees for pension-fund clients; at EY I supported insurance clients through IFRS 17 transformation. Those client types — pension funds, asset managers, and insurers — overlap closely with truView's institutional base, and I have spent seven years answering their questions about why a number moved. I am based in Toronto, available for interviews immediately, and can start approximately four weeks after an offer. My resume is attached; references available on request. Thank you for your time.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