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pPr>
      <w:r>
        <w:rPr>
          <w:rFonts w:ascii="Avenir Next LT Pro" w:hAnsi="Avenir Next LT Pro" w:cs="Avenir Next LT Pro"/>
          <w:b/>
          <w:i w:val="0"/>
          <w:color w:val="1A1A1A"/>
          <w:sz w:val="38"/>
        </w:rPr>
        <w:t>Saber Ayatollahi</w:t>
      </w:r>
      <w:r>
        <w:rPr>
          <w:rFonts w:ascii="Avenir Next LT Pro" w:hAnsi="Avenir Next LT Pro" w:cs="Avenir Next LT Pro"/>
          <w:b w:val="0"/>
          <w:i w:val="0"/>
          <w:color w:val="1A1A1A"/>
          <w:sz w:val="22"/>
        </w:rPr>
        <w:t>, CFA, MSc</w:t>
      </w:r>
    </w:p>
    <w:p>
      <w:pPr>
        <w:spacing w:before="0" w:after="80" w:line="240" w:lineRule="auto"/>
      </w:pPr>
      <w:r>
        <w:rPr>
          <w:rFonts w:ascii="Avenir Next LT Pro" w:hAnsi="Avenir Next LT Pro" w:cs="Avenir Next LT Pro"/>
          <w:b w:val="0"/>
          <w:i w:val="0"/>
          <w:color w:val="1A1A1A"/>
          <w:sz w:val="19"/>
        </w:rPr>
        <w:t>Toronto, Canada  •  +1 (416) 856-1276  •  saber.ayatollahi@gmail.com  •  www.linkedin.com/in/sayatollahi</w:t>
      </w:r>
    </w:p>
    <w:p>
      <w:pPr>
        <w:keepNext/>
        <w:spacing w:before="140" w:after="60" w:line="240" w:lineRule="auto"/>
        <w:pBdr>
          <w:bottom w:val="single" w:sz="6" w:space="3" w:color="BFBFBF"/>
        </w:pBdr>
      </w:pPr>
      <w:r>
        <w:rPr>
          <w:rFonts w:ascii="Avenir Next LT Pro" w:hAnsi="Avenir Next LT Pro" w:cs="Avenir Next LT Pro"/>
          <w:b/>
          <w:i w:val="0"/>
          <w:color w:val="1A1A1A"/>
          <w:sz w:val="23"/>
          <w:caps w:val="true"/>
          <w:spacing w:val="20"/>
        </w:rPr>
        <w:t>SUMMARY</w:t>
      </w:r>
    </w:p>
    <w:p>
      <w:pPr>
        <w:spacing w:before="0" w:after="40" w:line="259" w:lineRule="auto"/>
        <w:jc w:val="both"/>
      </w:pPr>
      <w:r>
        <w:rPr>
          <w:rFonts w:ascii="Avenir Next LT Pro Light" w:hAnsi="Avenir Next LT Pro Light" w:cs="Avenir Next LT Pro Light"/>
          <w:b w:val="0"/>
          <w:i w:val="0"/>
          <w:color w:val="1A1A1A"/>
          <w:sz w:val="20"/>
        </w:rPr>
        <w:t>Portfolio Manager, Portfolio Construction &amp; Risk candidate with ~7 years across multi-asset portfolio construction, investment risk analytics and strategy advisory. Ran asset-only and surplus portfolio optimization on VaR and CVaR with risk decomposition and near-optimal frontier testing at Ortec Finance, presenting allocation recommendations to pension investment committees. Now holds delegated sign-off on ALM and portfolio-risk outputs for institutional portfolios of $5-25bn per engagement at Moody's Analytics. CFA charterholder; dual MSc.</w:t>
      </w:r>
    </w:p>
    <w:p>
      <w:pPr>
        <w:keepNext/>
        <w:spacing w:before="140" w:after="60" w:line="240" w:lineRule="auto"/>
        <w:pBdr>
          <w:bottom w:val="single" w:sz="6" w:space="3" w:color="BFBFBF"/>
        </w:pBdr>
      </w:pPr>
      <w:r>
        <w:rPr>
          <w:rFonts w:ascii="Avenir Next LT Pro" w:hAnsi="Avenir Next LT Pro" w:cs="Avenir Next LT Pro"/>
          <w:b/>
          <w:i w:val="0"/>
          <w:color w:val="1A1A1A"/>
          <w:sz w:val="23"/>
          <w:caps w:val="true"/>
          <w:spacing w:val="20"/>
        </w:rPr>
        <w:t>CORE SKILLS</w:t>
      </w:r>
    </w:p>
    <w:p>
      <w:pPr>
        <w:spacing w:before="0" w:after="40" w:line="269" w:lineRule="auto"/>
      </w:pPr>
      <w:r>
        <w:rPr>
          <w:rFonts w:ascii="Avenir Next LT Pro" w:hAnsi="Avenir Next LT Pro" w:cs="Avenir Next LT Pro"/>
          <w:b w:val="0"/>
          <w:i w:val="0"/>
          <w:color w:val="1A1A1A"/>
          <w:sz w:val="20"/>
        </w:rPr>
        <w:t>Portfolio Construction &amp; Portfolio Risk</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Portfolio Optimization (Asset-Only &amp; Surplus)</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VaR &amp; CVaR (Expected Shortfall)</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Risk Decomposition, Attribution &amp; Risk Budgeting</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Cross-Asset Exposure &amp; Diversification Analysis</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Stress Testing &amp; Scenario Analysis</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Strategic &amp; Tactical Asset Allocation (SAA/TAA)</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Stochastic Scenario Generation &amp; Monte Carlo Simulation</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Derivatives &amp; Fixed Income Sensitivity Analytics (Rates, FX, Inflation)</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Python, SQL &amp; Advanced Excel</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Investment Committee &amp; Executive Communication</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GenAI-Enabled Analytics Workflows (Claude Code, Cursor)</w:t>
      </w:r>
    </w:p>
    <w:p>
      <w:pPr>
        <w:keepNext/>
        <w:spacing w:before="140" w:after="60" w:line="240" w:lineRule="auto"/>
        <w:pBdr>
          <w:bottom w:val="single" w:sz="6" w:space="3" w:color="BFBFBF"/>
        </w:pBdr>
      </w:pPr>
      <w:r>
        <w:rPr>
          <w:rFonts w:ascii="Avenir Next LT Pro" w:hAnsi="Avenir Next LT Pro" w:cs="Avenir Next LT Pro"/>
          <w:b/>
          <w:i w:val="0"/>
          <w:color w:val="1A1A1A"/>
          <w:sz w:val="23"/>
          <w:caps w:val="true"/>
          <w:spacing w:val="20"/>
        </w:rPr>
        <w:t>EXPERIENCE</w:t>
      </w:r>
    </w:p>
    <w:p>
      <w:pPr>
        <w:keepNext/>
        <w:spacing w:before="100" w:after="0" w:line="240" w:lineRule="auto"/>
      </w:pPr>
      <w:r>
        <w:rPr>
          <w:rFonts w:ascii="Avenir Next LT Pro" w:hAnsi="Avenir Next LT Pro" w:cs="Avenir Next LT Pro"/>
          <w:b/>
          <w:i/>
          <w:color w:val="1A1A1A"/>
          <w:sz w:val="23"/>
        </w:rPr>
        <w:t>Moody's Analytics</w:t>
      </w:r>
    </w:p>
    <w:p>
      <w:pPr>
        <w:keepNext/>
        <w:spacing w:before="0" w:after="0" w:line="240" w:lineRule="auto"/>
      </w:pPr>
      <w:r>
        <w:rPr>
          <w:rFonts w:ascii="Avenir Next LT Pro" w:hAnsi="Avenir Next LT Pro" w:cs="Avenir Next LT Pro"/>
          <w:b/>
          <w:i/>
          <w:color w:val="1A1A1A"/>
          <w:sz w:val="21"/>
        </w:rPr>
        <w:t>Asst. Director - Modelling Services</w:t>
      </w:r>
    </w:p>
    <w:p>
      <w:pPr>
        <w:keepNext/>
        <w:spacing w:before="0" w:after="40" w:line="240" w:lineRule="auto"/>
      </w:pPr>
      <w:r>
        <w:rPr>
          <w:rFonts w:ascii="Avenir Next LT Pro" w:hAnsi="Avenir Next LT Pro" w:cs="Avenir Next LT Pro"/>
          <w:b w:val="0"/>
          <w:i/>
          <w:color w:val="1A1A1A"/>
          <w:sz w:val="21"/>
        </w:rPr>
        <w:t>Toronto, May 2023 - Present</w:t>
      </w:r>
    </w:p>
    <w:p>
      <w:pPr>
        <w:keepNext/>
        <w:spacing w:before="60" w:after="20" w:line="240" w:lineRule="auto"/>
      </w:pPr>
      <w:r>
        <w:rPr>
          <w:rFonts w:ascii="Avenir Next LT Pro" w:hAnsi="Avenir Next LT Pro" w:cs="Avenir Next LT Pro"/>
          <w:b/>
          <w:i w:val="0"/>
          <w:color w:val="1A1A1A"/>
          <w:sz w:val="21"/>
        </w:rPr>
        <w:t>Portfolio Risk, Exposure &amp; Sensitivity Analysis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Hold delegated sign-off authority on valuation, sensitivity and ALM/portfolio-risk outputs for multi-asset institutional portfolios of $5-25bn per engagement (~$50bn+ cumulative), independently reviewing curve construction, spread calibration and cross-asset interactions prior to release.</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Validate derivatives outputs across rates, FX and inflation, confirming sensitivities and scenario impacts stay consistent at multi-asset portfolio-level aggregates.</w:t>
      </w:r>
    </w:p>
    <w:p>
      <w:pPr>
        <w:keepNext/>
        <w:spacing w:before="60" w:after="20" w:line="240" w:lineRule="auto"/>
      </w:pPr>
      <w:r>
        <w:rPr>
          <w:rFonts w:ascii="Avenir Next LT Pro" w:hAnsi="Avenir Next LT Pro" w:cs="Avenir Next LT Pro"/>
          <w:b/>
          <w:i w:val="0"/>
          <w:color w:val="1A1A1A"/>
          <w:sz w:val="21"/>
        </w:rPr>
        <w:t>Scenario Analysis &amp; Portfolio Resilience</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Led design and implementation of an enterprise multi-asset cash-flow projection engine supporting base, stress and reverse-stress scenarios, giving institutional clients forward-looking visibility across market environments.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Architected configurable time-bucketed liquidity analytics (T+1 through multi-year) supporting funding, refinancing-risk and asset allocation decisions.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Re-engineered manual spreadsheet workflows into scalable Python analytics pipelines with embedded logging and auditability, and built agentic AI workflows (Claude Code, Cursor IDE) that cut development cycle time an estimated 30-40%.</w:t>
      </w:r>
    </w:p>
    <w:p>
      <w:pPr>
        <w:keepNext/>
        <w:spacing w:before="60" w:after="20" w:line="240" w:lineRule="auto"/>
      </w:pPr>
      <w:r>
        <w:rPr>
          <w:rFonts w:ascii="Avenir Next LT Pro" w:hAnsi="Avenir Next LT Pro" w:cs="Avenir Next LT Pro"/>
          <w:b/>
          <w:i w:val="0"/>
          <w:color w:val="1A1A1A"/>
          <w:sz w:val="21"/>
        </w:rPr>
        <w:t>Decision-Useful Communication &amp; Independent Challenge</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Synthesize quantitative outputs into investment-committee-ready summaries for senior stakeholders covering exposures, scenario impacts and portfolio sensitivities.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Serve as escalation point on client-critical analytical issues, providing independent challenge to Heads of Risk and investment stakeholders where outputs lack economic defensibility.</w:t>
      </w:r>
    </w:p>
    <w:p>
      <w:pPr>
        <w:keepNext/>
        <w:spacing w:before="0" w:after="0" w:line="240" w:lineRule="auto"/>
      </w:pPr>
      <w:r>
        <w:rPr>
          <w:rFonts w:ascii="Avenir Next LT Pro" w:hAnsi="Avenir Next LT Pro" w:cs="Avenir Next LT Pro"/>
          <w:b/>
          <w:i/>
          <w:color w:val="1A1A1A"/>
          <w:sz w:val="21"/>
        </w:rPr>
        <w:t>Client Service Specialist</w:t>
      </w:r>
    </w:p>
    <w:p>
      <w:pPr>
        <w:keepNext/>
        <w:spacing w:before="0" w:after="40" w:line="240" w:lineRule="auto"/>
      </w:pPr>
      <w:r>
        <w:rPr>
          <w:rFonts w:ascii="Avenir Next LT Pro" w:hAnsi="Avenir Next LT Pro" w:cs="Avenir Next LT Pro"/>
          <w:b w:val="0"/>
          <w:i/>
          <w:color w:val="1A1A1A"/>
          <w:sz w:val="21"/>
        </w:rPr>
        <w:t>Toronto, May 2022 - May 2023</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Led onboarding and implementation for U.S. and Canadian pension funds, asset managers and consulting firms on the PFaroe DB (risk &amp; ALM analytics) and PFaroe PM (portfolio management) platforms, advising investment teams on asset, liability and portfolio configurations.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Translated investment-team requirements into structured development requests and validated model outputs post-deployment, migrating all assigned accounts off the legacy Calypso platform.</w:t>
      </w:r>
    </w:p>
    <w:p>
      <w:pPr>
        <w:keepNext/>
        <w:spacing w:before="100" w:after="0" w:line="240" w:lineRule="auto"/>
      </w:pPr>
      <w:r>
        <w:rPr>
          <w:rFonts w:ascii="Avenir Next LT Pro" w:hAnsi="Avenir Next LT Pro" w:cs="Avenir Next LT Pro"/>
          <w:b/>
          <w:i/>
          <w:color w:val="1A1A1A"/>
          <w:sz w:val="23"/>
        </w:rPr>
        <w:t>Ernst &amp; Young (EY)</w:t>
      </w:r>
    </w:p>
    <w:p>
      <w:pPr>
        <w:keepNext/>
        <w:spacing w:before="0" w:after="0" w:line="240" w:lineRule="auto"/>
      </w:pPr>
      <w:r>
        <w:rPr>
          <w:rFonts w:ascii="Avenir Next LT Pro" w:hAnsi="Avenir Next LT Pro" w:cs="Avenir Next LT Pro"/>
          <w:b/>
          <w:i/>
          <w:color w:val="1A1A1A"/>
          <w:sz w:val="21"/>
        </w:rPr>
        <w:t>Senior Consultant - IFRS &amp; Financial Risk Transformation</w:t>
      </w:r>
    </w:p>
    <w:p>
      <w:pPr>
        <w:keepNext/>
        <w:spacing w:before="0" w:after="40" w:line="240" w:lineRule="auto"/>
      </w:pPr>
      <w:r>
        <w:rPr>
          <w:rFonts w:ascii="Avenir Next LT Pro" w:hAnsi="Avenir Next LT Pro" w:cs="Avenir Next LT Pro"/>
          <w:b w:val="0"/>
          <w:i/>
          <w:color w:val="1A1A1A"/>
          <w:sz w:val="21"/>
        </w:rPr>
        <w:t>Toronto, Sep 2021 - Apr 2022</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Delivered IFRS 17 and IFRS 9 transformation projects for Canadian and international insurance clients, aligning regulatory requirements with system implementation and financial-reporting frameworks.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Coordinated actuarial, finance, IT, risk and program-management teams on milestone delivery, governance documentation and implementation materials.</w:t>
      </w:r>
    </w:p>
    <w:p>
      <w:pPr>
        <w:keepNext/>
        <w:spacing w:before="100" w:after="0" w:line="240" w:lineRule="auto"/>
      </w:pPr>
      <w:r>
        <w:rPr>
          <w:rFonts w:ascii="Avenir Next LT Pro" w:hAnsi="Avenir Next LT Pro" w:cs="Avenir Next LT Pro"/>
          <w:b/>
          <w:i/>
          <w:color w:val="1A1A1A"/>
          <w:sz w:val="23"/>
        </w:rPr>
        <w:t>Ortec Finance Canada</w:t>
      </w:r>
    </w:p>
    <w:p>
      <w:pPr>
        <w:keepNext/>
        <w:spacing w:before="0" w:after="0" w:line="240" w:lineRule="auto"/>
      </w:pPr>
      <w:r>
        <w:rPr>
          <w:rFonts w:ascii="Avenir Next LT Pro" w:hAnsi="Avenir Next LT Pro" w:cs="Avenir Next LT Pro"/>
          <w:b/>
          <w:i/>
          <w:color w:val="1A1A1A"/>
          <w:sz w:val="21"/>
        </w:rPr>
        <w:t>Consultant - Asset-Liability Management &amp; Risk</w:t>
      </w:r>
    </w:p>
    <w:p>
      <w:pPr>
        <w:keepNext/>
        <w:spacing w:before="0" w:after="40" w:line="240" w:lineRule="auto"/>
      </w:pPr>
      <w:r>
        <w:rPr>
          <w:rFonts w:ascii="Avenir Next LT Pro" w:hAnsi="Avenir Next LT Pro" w:cs="Avenir Next LT Pro"/>
          <w:b w:val="0"/>
          <w:i/>
          <w:color w:val="1A1A1A"/>
          <w:sz w:val="21"/>
        </w:rPr>
        <w:t>Toronto, Feb 2019 - Sep 2021</w:t>
      </w:r>
    </w:p>
    <w:p>
      <w:pPr>
        <w:keepNext/>
        <w:spacing w:before="60" w:after="20" w:line="240" w:lineRule="auto"/>
      </w:pPr>
      <w:r>
        <w:rPr>
          <w:rFonts w:ascii="Avenir Next LT Pro" w:hAnsi="Avenir Next LT Pro" w:cs="Avenir Next LT Pro"/>
          <w:b/>
          <w:i w:val="0"/>
          <w:color w:val="1A1A1A"/>
          <w:sz w:val="21"/>
        </w:rPr>
        <w:t>Portfolio Construction &amp; Capital Allocation</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Performed asset-only and asset-liability (surplus) portfolio optimization on VaR and CVaR using Ortec's GLASS platform, with risk decomposition, contribution-to-risk budgeting and near-optimal frontier analysis to test the robustness of allocation recommendations.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Advised institutional clients on strategic asset allocation (SAA) and tactical asset allocation (TAA) trade-offs through stress testing and sensitivity analysis.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Conducted liability-driven investment (LDI) analysis weighing return objectives, duration alignment and liquidity considerations for pension-fund clients.</w:t>
      </w:r>
    </w:p>
    <w:p>
      <w:pPr>
        <w:keepNext/>
        <w:spacing w:before="60" w:after="20" w:line="240" w:lineRule="auto"/>
      </w:pPr>
      <w:r>
        <w:rPr>
          <w:rFonts w:ascii="Avenir Next LT Pro" w:hAnsi="Avenir Next LT Pro" w:cs="Avenir Next LT Pro"/>
          <w:b/>
          <w:i w:val="0"/>
          <w:color w:val="1A1A1A"/>
          <w:sz w:val="21"/>
        </w:rPr>
        <w:t>Scenario Modelling &amp; Risk Analysis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Built and interpreted stochastic economic scenario generators assessing interest-rate risk and funding volatility under base-case and stressed environments.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Delivered multi-asset asset-liability studies for Canadian and international pension funds and institutional investors, analyzing funding ratios, duration mismatch and long-horizon balance-sheet risk.</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Performed cash-flow, liquidity and hedging analysis across interest-rate, inflation and currency risk for international institutional clients.</w:t>
      </w:r>
    </w:p>
    <w:p>
      <w:pPr>
        <w:keepNext/>
        <w:spacing w:before="60" w:after="20" w:line="240" w:lineRule="auto"/>
      </w:pPr>
      <w:r>
        <w:rPr>
          <w:rFonts w:ascii="Avenir Next LT Pro" w:hAnsi="Avenir Next LT Pro" w:cs="Avenir Next LT Pro"/>
          <w:b/>
          <w:i w:val="0"/>
          <w:color w:val="1A1A1A"/>
          <w:sz w:val="21"/>
        </w:rPr>
        <w:t>Investment Committee Advisory &amp; Project Leadership</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Presented study findings and allocation recommendations on site to investment committees at Canadian pension-fund clients.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Led onboarding and the study for a three-plan university pension merger, developing and validating on a team of three the model capturing all funding-policy dynamics and evaluating duration, currency, inflation and leverage overlay strategies.</w:t>
      </w:r>
    </w:p>
    <w:p>
      <w:pPr>
        <w:keepNext/>
        <w:spacing w:before="140" w:after="60" w:line="240" w:lineRule="auto"/>
        <w:pBdr>
          <w:bottom w:val="single" w:sz="6" w:space="3" w:color="BFBFBF"/>
        </w:pBdr>
      </w:pPr>
      <w:r>
        <w:rPr>
          <w:rFonts w:ascii="Avenir Next LT Pro" w:hAnsi="Avenir Next LT Pro" w:cs="Avenir Next LT Pro"/>
          <w:b/>
          <w:i w:val="0"/>
          <w:color w:val="1A1A1A"/>
          <w:sz w:val="23"/>
          <w:caps w:val="true"/>
          <w:spacing w:val="20"/>
        </w:rPr>
        <w:t>EDUCATION &amp; CREDENTIALS</w:t>
      </w:r>
    </w:p>
    <w:p>
      <w:pPr>
        <w:tabs>
          <w:tab w:pos="259" w:val="left"/>
        </w:tabs>
        <w:spacing w:before="0" w:after="20" w:line="259" w:lineRule="auto"/>
        <w:ind w:left="259" w:hanging="259"/>
      </w:pPr>
      <w:r>
        <w:rPr>
          <w:rFonts w:ascii="Avenir Next LT Pro" w:hAnsi="Avenir Next LT Pro" w:cs="Avenir Next LT Pro"/>
          <w:b w:val="0"/>
          <w:i w:val="0"/>
          <w:color w:val="1A1A1A"/>
          <w:sz w:val="20"/>
        </w:rPr>
        <w:t>•</w:t>
        <w:tab/>
        <w:t>Chartered Financial Analyst (CFA) - CFA Institute, 2024</w:t>
      </w:r>
    </w:p>
    <w:p>
      <w:pPr>
        <w:tabs>
          <w:tab w:pos="259" w:val="left"/>
        </w:tabs>
        <w:spacing w:before="0" w:after="20" w:line="259" w:lineRule="auto"/>
        <w:ind w:left="259" w:hanging="259"/>
      </w:pPr>
      <w:r>
        <w:rPr>
          <w:rFonts w:ascii="Avenir Next LT Pro" w:hAnsi="Avenir Next LT Pro" w:cs="Avenir Next LT Pro"/>
          <w:b w:val="0"/>
          <w:i w:val="0"/>
          <w:color w:val="1A1A1A"/>
          <w:sz w:val="20"/>
        </w:rPr>
        <w:t>•</w:t>
        <w:tab/>
        <w:t>MSc, Financial Modelling - Western University, 2018</w:t>
      </w:r>
    </w:p>
    <w:p>
      <w:pPr>
        <w:tabs>
          <w:tab w:pos="259" w:val="left"/>
        </w:tabs>
        <w:spacing w:before="0" w:after="20" w:line="259" w:lineRule="auto"/>
        <w:ind w:left="259" w:hanging="259"/>
      </w:pPr>
      <w:r>
        <w:rPr>
          <w:rFonts w:ascii="Avenir Next LT Pro" w:hAnsi="Avenir Next LT Pro" w:cs="Avenir Next LT Pro"/>
          <w:b w:val="0"/>
          <w:i w:val="0"/>
          <w:color w:val="1A1A1A"/>
          <w:sz w:val="20"/>
        </w:rPr>
        <w:t>•</w:t>
        <w:tab/>
        <w:t>MSc, Chemical Engineering (Full Scholarship) - Western University, 2016</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LT Pro" w:hAnsi="Avenir Next LT Pr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