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r>
        <w:t>August 28, 2026</w:t>
      </w:r>
    </w:p>
    <w:p>
      <w:r>
        <w:t>Re: Portfolio Manager, Portfolio Construction &amp; Risk — CPP Investments</w:t>
      </w:r>
    </w:p>
    <w:p>
      <w:r>
        <w:t>Dear Hiring Team,</w:t>
      </w:r>
    </w:p>
    <w:p>
      <w:r>
        <w:t>Running VaR/CVaR portfolio optimization, decomposing risk contributions, and stress-testing whether an allocation still holds near the edges of the efficient frontier was the daily discipline of my Ortec Finance mandate; validating portfolio-level sensitivity and exposure outputs on $5-25bn institutional books is the discipline of my current mandate at Moody's Analytics. Together they form the throughline of my seven years in ALM and investment-risk analytics -- and it is the craft the Portfolio Manager, Portfolio Construction &amp; Risk role in CMF's Strategy, Risk &amp; Operations group is built around. I would like to be considered for it.</w:t>
      </w:r>
    </w:p>
    <w:p>
      <w:r>
        <w:t>At Ortec Finance I ran asset-only and asset-liability (surplus) optimization on VaR and CVaR for Canadian and international institutional investors, performed risk decomposition and contribution-to-risk budgeting, and explored near-optimal portfolios around the frontier to test whether allocation recommendations were robust rather than merely optimal. I advised on strategic and tactical asset allocation trade-offs through stress and sensitivity analysis, modelled interest-rate, inflation and currency hedging, and presented recommendations directly to pension investment committees. I also led a three-plan university pension merger study -- an ambiguous, high-stakes mandate delivered on a team of three. At Moody's Analytics I now hold delegated sign-off authority on valuation, sensitivity and ALM/portfolio-risk outputs for institutional portfolios of $5-25bn per engagement, independently reviewing cross-asset interactions and scenario impacts and escalating results that are mathematically clean but economically indefensible.</w:t>
      </w:r>
    </w:p>
    <w:p>
      <w:r>
        <w:t>What draws me to CMF is the emphasis on scalable, liquid and diversifying sources of return judged with a One Fund lens -- decisions that turn on concentration, relative value and resilience across market environments rather than any single strategy in isolation. That discipline of testing robustness and diversification through stress and frontier analysis is the same methodology I have applied with institutional clients, supported by a Python and stochastic-simulation toolkit and daily GenAI-assisted workflows (Claude Code, Cursor). I hold the CFA charter and dual MSc degrees in Financial Modelling and Chemical Engineering.</w:t>
      </w:r>
    </w:p>
    <w:p>
      <w:r>
        <w:t>I am Toronto-based, available to interview immediately, and can start approximately four weeks after an offer. Thank you for your time and consideration.</w:t>
      </w:r>
    </w:p>
    <w:p>
      <w:r>
        <w:t>Sincerely,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