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Investment risk and valuation specialist with ~7 years of experience in independent model challenge, scenario and sensitivity analysis, and valuation review - directly relevant to the Director, Investment Risk and Equity Valuation mandate at Canada Infrastructure Bank. Holds delegated sign-off authority at Moody's Analytics over valuation and sensitivity outputs for multi-asset (fixed income and derivative) institutional portfolios of $5-25bn per engagement, and sits on the model governance committee setting methodology and documentation standards. Earlier ALM, LDI and VaR/CVaR portfolio-optimization advisory at Ortec Finance, including investment-committee delivery. CFA charterholder; dual MSc degrees; conversational French.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Valuation Review &amp; Delegated Sign-Off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Challenge &amp; Model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Discounted Cash Flow (DCF) Fundamentals &amp; Discount Rate/Curve Assumption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Scenario Analysis &amp; Sensitivity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Scenario Modelling &amp; Outcome-Distribution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Financial Model Build &amp; Review (Excel, Python)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Valuation Methodology &amp; Documentation Standards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Risk Analytics (VaR / CVaR / Attribution)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Committee &amp; Executive Reporting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Valuation Review &amp; Independent Challenge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over valuation, sensitivity and ALM outputs for multi-asset institutional portfolios of $5-25bn per engagement (~$50bn+ cumulative across the book), spanning fixed income and derivative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Challenge key valuation inputs prior to production release - discount rates and curve assumptions implied by yield-curve construction, spread calibration and cross-asset interactions - and escalate outputs lacking mathematical or economic defensibility.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valuation outputs across rates, FX and inflation, confirming sensitivity consistency at portfolio-level aggregates and reviewing aggregation logic from security-level exposures to portfolio risk metrics.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 as escalation point for client-critical analytical issues, working directly with clients'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Valuation Methodology, Governance &amp; Documentation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 to methodology review, documentation and benchmarking standards as a member of the model governance committee, including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auditable Python analytics pipelines with embedded logging and validation controls, supporting documentation and reproducibility standards for recurring model review.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Scenario Analysis, Sensitivity Testing &amp; Cash Flow Modelling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 and reverse-stress scenarios, providing forward-looking visibility over long-horizon projected cash flows.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behavioural cash flow assumptions, prepayment logic and macro stress overlays, and ran independent scenario analysis and sensitivity testing of portfolio exposure under parallel and non-parallel rate shocks.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Reporting &amp; Mentorship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scenario impacts, valuation sensitivities and exposure, translating complex analytical outputs into concise, decision-ready narratives; mentored junior colleagues on review practice.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 and consulting firms on the PFaroe DB (risk &amp; ALM analytics) and PFaroe PM (portfolio management) platforms - advising on asset, liability and portfolio configurations and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investment-team requirements into scoped development requests and migrated all assigned client accounts from the legacy Calypso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measurement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finance, IT and program-management functions, and contributed to governance documentation and regulatory-readiness processes for financial institutions.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decomposition, contribution-to-risk analysis and near-optimal frontier testing of allocation robustness.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generators, producing distributions of funding and return outcomes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and investment studies for Canadian and international pension funds and institutional investors, analyzing funding ratios, duration mismatch and long-horizon balance-sheet risk.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plus cash flow, liquidity and hedging analysis across interest-rate, inflation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 - on a team of three building and validating the model capturing all Funding Policy dynamics and evaluating duration, currency, inflation and leverage 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allocation recommendations to pension-fund investment committees on-site, and designed stochastic risk-management frameworks tailored to specific client mandates.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Languages: English (fluent) - French (conversational)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