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28, 2026</w:t>
      </w:r>
    </w:p>
    <w:p>
      <w:r>
        <w:t>Re: Director, Investment Risk and Equity Valuation — Canada Infrastructure Bank</w:t>
      </w:r>
    </w:p>
    <w:p>
      <w:r>
        <w:t>Dear Hiring Team,</w:t>
      </w:r>
    </w:p>
    <w:p>
      <w:r>
        <w:t>At Moody's Analytics I hold delegated sign-off authority over valuation and sensitivity outputs delivered to institutional portfolios of $5-25bn per engagement - the independent-review seat the Director, Investment Risk and Equity Valuation role is built around. My mandate is to challenge before release: discount curves and rate assumptions implied by yield-curve construction, spread calibration, cross-asset assumptions and scenario outputs. On one client delivery the numbers passed every internal check but did not square economically under a specific rate shock; I held the release, decomposed the sensitivities, found a curve-calibration edge case, and escalated to the client's Head of Risk rather than sign.</w:t>
      </w:r>
    </w:p>
    <w:p>
      <w:r>
        <w:t>I also sit on Moody's model governance committee, where methodology review, documentation and benchmarking standards are set - work analogous to CIB's push for standardized valuation methodologies, playbooks and model review practices. On the analytics side, I led the design of a multi-asset cash flow projection engine covering base, stress and reverse-stress scenarios. Earlier, at Ortec Finance, I built stochastic economic scenario generators producing distributions of funding and return outcomes, ran VaR and CVaR surplus optimization with risk decomposition and near-optimal frontier testing, and presented recommendations directly to pension investment committees. Mentoring junior colleagues on review practice has been part of my current role.</w:t>
      </w:r>
    </w:p>
    <w:p>
      <w:r>
        <w:t>What draws me to CIB is the analytical honesty this mandate demands: revenue-risk and upside-sharing structures where the valuation answer rests on assumptions that must be argued, not asserted. My valuation depth has been built on long-dated, cash-flow-driven institutional portfolios rather than single-asset infrastructure equity - but the discipline is the one I practise daily: interrogating discount and stress assumptions, cash flow forecasts, and downside scenarios, then documenting the judgment so a governance forum can rely on it. I hold the CFA charter, dual MSc degrees from Western University, and conversational French.</w:t>
      </w:r>
    </w:p>
    <w:p>
      <w:r>
        <w:t>I am Toronto-based, available for interviews immediately, and can start approximately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