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40" w:lineRule="auto"/>
      </w:pPr>
      <w:r>
        <w:rPr>
          <w:rFonts w:ascii="Avenir Next LT Pro" w:hAnsi="Avenir Next LT Pro" w:cs="Avenir Next LT Pro"/>
          <w:b/>
          <w:i w:val="0"/>
          <w:color w:val="1A1A1A"/>
          <w:sz w:val="38"/>
        </w:rPr>
        <w:t>Saber Ayatollahi</w:t>
      </w:r>
      <w:r>
        <w:rPr>
          <w:rFonts w:ascii="Avenir Next LT Pro" w:hAnsi="Avenir Next LT Pro" w:cs="Avenir Next LT Pro"/>
          <w:b w:val="0"/>
          <w:i w:val="0"/>
          <w:color w:val="1A1A1A"/>
          <w:sz w:val="22"/>
        </w:rPr>
        <w:t>, CFA, MSc</w:t>
      </w:r>
    </w:p>
    <w:p>
      <w:pPr>
        <w:spacing w:before="0" w:after="80" w:line="240" w:lineRule="auto"/>
      </w:pPr>
      <w:r>
        <w:rPr>
          <w:rFonts w:ascii="Avenir Next LT Pro" w:hAnsi="Avenir Next LT Pro" w:cs="Avenir Next LT Pro"/>
          <w:b w:val="0"/>
          <w:i w:val="0"/>
          <w:color w:val="1A1A1A"/>
          <w:sz w:val="19"/>
        </w:rPr>
        <w:t>Toronto, Canada  •  +1 (416) 856-1276  •  saber.ayatollahi@gmail.com  •  www.linkedin.com/in/sayatollahi</w:t>
      </w:r>
    </w:p>
    <w:p>
      <w:pPr>
        <w:keepNext/>
        <w:spacing w:before="140" w:after="60" w:line="240" w:lineRule="auto"/>
        <w:pBdr>
          <w:bottom w:val="single" w:sz="6" w:space="3" w:color="BFBFBF"/>
        </w:pBdr>
      </w:pPr>
      <w:r>
        <w:rPr>
          <w:rFonts w:ascii="Avenir Next LT Pro" w:hAnsi="Avenir Next LT Pro" w:cs="Avenir Next LT Pro"/>
          <w:b/>
          <w:i w:val="0"/>
          <w:color w:val="1A1A1A"/>
          <w:sz w:val="23"/>
          <w:caps w:val="true"/>
          <w:spacing w:val="20"/>
        </w:rPr>
        <w:t>SUMMARY</w:t>
      </w:r>
    </w:p>
    <w:p>
      <w:pPr>
        <w:spacing w:before="0" w:after="40" w:line="259" w:lineRule="auto"/>
        <w:jc w:val="both"/>
      </w:pPr>
      <w:r>
        <w:rPr>
          <w:rFonts w:ascii="Avenir Next LT Pro Light" w:hAnsi="Avenir Next LT Pro Light" w:cs="Avenir Next LT Pro Light"/>
          <w:b w:val="0"/>
          <w:i w:val="0"/>
          <w:color w:val="1A1A1A"/>
          <w:sz w:val="20"/>
        </w:rPr>
        <w:t>Global Treasury Audit, Vice President candidate with ~7 years across Asset Liability Management, Interest Rate Risk in the Banking Book, and independent model review. Holds delegated sign-off authority at Moody's Analytics on valuation, sensitivity, and ALM outputs for multi-asset institutional portfolios of $5-25bn per engagement, and serves on the model governance committee. Depth in NII and EVE sensitivity, behavioral cash flow assumptions, stress testing, hedging, and senior management reporting. CFA charterholder; dual MSc.</w:t>
      </w:r>
    </w:p>
    <w:p>
      <w:pPr>
        <w:keepNext/>
        <w:spacing w:before="140" w:after="60" w:line="240" w:lineRule="auto"/>
        <w:pBdr>
          <w:bottom w:val="single" w:sz="6" w:space="3" w:color="BFBFBF"/>
        </w:pBdr>
      </w:pPr>
      <w:r>
        <w:rPr>
          <w:rFonts w:ascii="Avenir Next LT Pro" w:hAnsi="Avenir Next LT Pro" w:cs="Avenir Next LT Pro"/>
          <w:b/>
          <w:i w:val="0"/>
          <w:color w:val="1A1A1A"/>
          <w:sz w:val="23"/>
          <w:caps w:val="true"/>
          <w:spacing w:val="20"/>
        </w:rPr>
        <w:t>CORE SKILLS</w:t>
      </w:r>
    </w:p>
    <w:p>
      <w:pPr>
        <w:spacing w:before="0" w:after="40" w:line="269" w:lineRule="auto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Interest Rate Risk in the Banking Book (IRRBB)</w:t>
      </w:r>
      <w:r>
        <w:rPr>
          <w:rFonts w:ascii="Avenir Next LT Pro" w:hAnsi="Avenir Next LT Pro" w:cs="Avenir Next LT Pro"/>
          <w:b w:val="0"/>
          <w:i w:val="0"/>
          <w:color w:val="BFBFBF"/>
          <w:sz w:val="20"/>
        </w:rPr>
        <w:t xml:space="preserve">  •  </w:t>
      </w: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Asset Liability Management (ALM)</w:t>
      </w:r>
      <w:r>
        <w:rPr>
          <w:rFonts w:ascii="Avenir Next LT Pro" w:hAnsi="Avenir Next LT Pro" w:cs="Avenir Next LT Pro"/>
          <w:b w:val="0"/>
          <w:i w:val="0"/>
          <w:color w:val="BFBFBF"/>
          <w:sz w:val="20"/>
        </w:rPr>
        <w:t xml:space="preserve">  •  </w:t>
      </w: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Net Interest Income (NII) &amp; Economic Value of Equity (EVE) Sensitivity</w:t>
      </w:r>
      <w:r>
        <w:rPr>
          <w:rFonts w:ascii="Avenir Next LT Pro" w:hAnsi="Avenir Next LT Pro" w:cs="Avenir Next LT Pro"/>
          <w:b w:val="0"/>
          <w:i w:val="0"/>
          <w:color w:val="BFBFBF"/>
          <w:sz w:val="20"/>
        </w:rPr>
        <w:t xml:space="preserve">  •  </w:t>
      </w: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Duration, Convexity &amp; Repricing Gap Analytics</w:t>
      </w:r>
      <w:r>
        <w:rPr>
          <w:rFonts w:ascii="Avenir Next LT Pro" w:hAnsi="Avenir Next LT Pro" w:cs="Avenir Next LT Pro"/>
          <w:b w:val="0"/>
          <w:i w:val="0"/>
          <w:color w:val="BFBFBF"/>
          <w:sz w:val="20"/>
        </w:rPr>
        <w:t xml:space="preserve">  •  </w:t>
      </w: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Behavioral Cash Flow &amp; Prepayment Assumptions</w:t>
      </w:r>
      <w:r>
        <w:rPr>
          <w:rFonts w:ascii="Avenir Next LT Pro" w:hAnsi="Avenir Next LT Pro" w:cs="Avenir Next LT Pro"/>
          <w:b w:val="0"/>
          <w:i w:val="0"/>
          <w:color w:val="BFBFBF"/>
          <w:sz w:val="20"/>
        </w:rPr>
        <w:t xml:space="preserve">  •  </w:t>
      </w: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Stress Testing &amp; Scenario Analysis</w:t>
      </w:r>
      <w:r>
        <w:rPr>
          <w:rFonts w:ascii="Avenir Next LT Pro" w:hAnsi="Avenir Next LT Pro" w:cs="Avenir Next LT Pro"/>
          <w:b w:val="0"/>
          <w:i w:val="0"/>
          <w:color w:val="BFBFBF"/>
          <w:sz w:val="20"/>
        </w:rPr>
        <w:t xml:space="preserve">  •  </w:t>
      </w: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Independent Model Review &amp; Challenge</w:t>
      </w:r>
      <w:r>
        <w:rPr>
          <w:rFonts w:ascii="Avenir Next LT Pro" w:hAnsi="Avenir Next LT Pro" w:cs="Avenir Next LT Pro"/>
          <w:b w:val="0"/>
          <w:i w:val="0"/>
          <w:color w:val="BFBFBF"/>
          <w:sz w:val="20"/>
        </w:rPr>
        <w:t xml:space="preserve">  •  </w:t>
      </w: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Model Governance, Documentation &amp; Escalation</w:t>
      </w:r>
      <w:r>
        <w:rPr>
          <w:rFonts w:ascii="Avenir Next LT Pro" w:hAnsi="Avenir Next LT Pro" w:cs="Avenir Next LT Pro"/>
          <w:b w:val="0"/>
          <w:i w:val="0"/>
          <w:color w:val="BFBFBF"/>
          <w:sz w:val="20"/>
        </w:rPr>
        <w:t xml:space="preserve">  •  </w:t>
      </w: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Interest Rate, Inflation &amp; FX Hedging Analysis</w:t>
      </w:r>
      <w:r>
        <w:rPr>
          <w:rFonts w:ascii="Avenir Next LT Pro" w:hAnsi="Avenir Next LT Pro" w:cs="Avenir Next LT Pro"/>
          <w:b w:val="0"/>
          <w:i w:val="0"/>
          <w:color w:val="BFBFBF"/>
          <w:sz w:val="20"/>
        </w:rPr>
        <w:t xml:space="preserve">  •  </w:t>
      </w: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Liquidity Gap &amp; Cash Flow Projection</w:t>
      </w:r>
      <w:r>
        <w:rPr>
          <w:rFonts w:ascii="Avenir Next LT Pro" w:hAnsi="Avenir Next LT Pro" w:cs="Avenir Next LT Pro"/>
          <w:b w:val="0"/>
          <w:i w:val="0"/>
          <w:color w:val="BFBFBF"/>
          <w:sz w:val="20"/>
        </w:rPr>
        <w:t xml:space="preserve">  •  </w:t>
      </w: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Senior Management &amp; Committee Reporting</w:t>
      </w:r>
      <w:r>
        <w:rPr>
          <w:rFonts w:ascii="Avenir Next LT Pro" w:hAnsi="Avenir Next LT Pro" w:cs="Avenir Next LT Pro"/>
          <w:b w:val="0"/>
          <w:i w:val="0"/>
          <w:color w:val="BFBFBF"/>
          <w:sz w:val="20"/>
        </w:rPr>
        <w:t xml:space="preserve">  •  </w:t>
      </w: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Python, SQL &amp; Advanced Excel</w:t>
      </w:r>
    </w:p>
    <w:p>
      <w:pPr>
        <w:keepNext/>
        <w:spacing w:before="140" w:after="60" w:line="240" w:lineRule="auto"/>
        <w:pBdr>
          <w:bottom w:val="single" w:sz="6" w:space="3" w:color="BFBFBF"/>
        </w:pBdr>
      </w:pPr>
      <w:r>
        <w:rPr>
          <w:rFonts w:ascii="Avenir Next LT Pro" w:hAnsi="Avenir Next LT Pro" w:cs="Avenir Next LT Pro"/>
          <w:b/>
          <w:i w:val="0"/>
          <w:color w:val="1A1A1A"/>
          <w:sz w:val="23"/>
          <w:caps w:val="true"/>
          <w:spacing w:val="20"/>
        </w:rPr>
        <w:t>EXPERIENCE</w:t>
      </w:r>
    </w:p>
    <w:p>
      <w:pPr>
        <w:keepNext/>
        <w:spacing w:before="100" w:after="0" w:line="240" w:lineRule="auto"/>
      </w:pPr>
      <w:r>
        <w:rPr>
          <w:rFonts w:ascii="Avenir Next LT Pro" w:hAnsi="Avenir Next LT Pro" w:cs="Avenir Next LT Pro"/>
          <w:b/>
          <w:i/>
          <w:color w:val="1A1A1A"/>
          <w:sz w:val="23"/>
        </w:rPr>
        <w:t>Moody's Analytics</w:t>
      </w:r>
    </w:p>
    <w:p>
      <w:pPr>
        <w:keepNext/>
        <w:spacing w:before="0" w:after="0" w:line="240" w:lineRule="auto"/>
      </w:pPr>
      <w:r>
        <w:rPr>
          <w:rFonts w:ascii="Avenir Next LT Pro" w:hAnsi="Avenir Next LT Pro" w:cs="Avenir Next LT Pro"/>
          <w:b/>
          <w:i/>
          <w:color w:val="1A1A1A"/>
          <w:sz w:val="21"/>
        </w:rPr>
        <w:t>Asst. Director — Modelling Services</w:t>
      </w:r>
    </w:p>
    <w:p>
      <w:pPr>
        <w:keepNext/>
        <w:spacing w:before="0" w:after="40" w:line="240" w:lineRule="auto"/>
      </w:pPr>
      <w:r>
        <w:rPr>
          <w:rFonts w:ascii="Avenir Next LT Pro" w:hAnsi="Avenir Next LT Pro" w:cs="Avenir Next LT Pro"/>
          <w:b w:val="0"/>
          <w:i/>
          <w:color w:val="1A1A1A"/>
          <w:sz w:val="21"/>
        </w:rPr>
        <w:t>Toronto, May 2023 - Present</w:t>
      </w:r>
    </w:p>
    <w:p>
      <w:pPr>
        <w:keepNext/>
        <w:spacing w:before="60" w:after="20" w:line="240" w:lineRule="auto"/>
      </w:pPr>
      <w:r>
        <w:rPr>
          <w:rFonts w:ascii="Avenir Next LT Pro" w:hAnsi="Avenir Next LT Pro" w:cs="Avenir Next LT Pro"/>
          <w:b/>
          <w:i w:val="0"/>
          <w:color w:val="1A1A1A"/>
          <w:sz w:val="21"/>
        </w:rPr>
        <w:t>Interest Rate Risk Measurement, Assumptions &amp; Scenario Design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Oversaw interest-rate risk, duration, and convexity analysis under parallel and non-parallel rate shocks — the EVE and NII sensitivity mechanics underlying IRRBB standards consistent with Basel Committee and industry supervisory frameworks.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Embedded and validated behavioral cash flow assumptions, prepayment logic, and macro stress overlays within projection models, aligned with regulatory liquidity expectations and executive contingency planning.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Validated derivatives pricing outputs across rates, FX, and inflation, confirming consistency of sensitivities and scenario impacts at portfolio-level ALM aggregates.</w:t>
      </w:r>
    </w:p>
    <w:p>
      <w:pPr>
        <w:keepNext/>
        <w:spacing w:before="60" w:after="20" w:line="240" w:lineRule="auto"/>
      </w:pPr>
      <w:r>
        <w:rPr>
          <w:rFonts w:ascii="Avenir Next LT Pro" w:hAnsi="Avenir Next LT Pro" w:cs="Avenir Next LT Pro"/>
          <w:b/>
          <w:i w:val="0"/>
          <w:color w:val="1A1A1A"/>
          <w:sz w:val="21"/>
        </w:rPr>
        <w:t>Balance Sheet, Funding &amp; Liquidity Analysis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Led design and implementation of an enterprise multi-asset cash flow projection engine supporting base, stress, and reverse-stress scenarios, delivering forward-looking liquidity visibility across ALM horizons.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Architected configurable time-bucketed liquidity gap analytics (T+1 through multi-year) enabling funding optimization, refinancing risk assessment, and asset-allocation decisions.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Reviewed aggregation logic converting security-level exposures into portfolio-level risk metrics feeding downstream ALM and capital processes.</w:t>
      </w:r>
    </w:p>
    <w:p>
      <w:pPr>
        <w:keepNext/>
        <w:spacing w:before="60" w:after="20" w:line="240" w:lineRule="auto"/>
      </w:pPr>
      <w:r>
        <w:rPr>
          <w:rFonts w:ascii="Avenir Next LT Pro" w:hAnsi="Avenir Next LT Pro" w:cs="Avenir Next LT Pro"/>
          <w:b/>
          <w:i w:val="0"/>
          <w:color w:val="1A1A1A"/>
          <w:sz w:val="21"/>
        </w:rPr>
        <w:t>Independent Challenge, Governance &amp; Management Reporting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Held delegated sign-off authority on valuation, sensitivity, and ALM outputs for multi-asset institutional portfolios of $5-25bn per engagement (~$50bn cumulative), independently reviewing curve construction, spread calibration, and cross-asset interactions prior to production release.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Served on the model governance committee, contributing to methodology review, documentation and benchmarking standards, and model-performance assessment consistent with SR 11-7-style model risk expectations.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Escalated outputs lacking mathematical or economic defensibility and acted as escalation point for client-critical analytical issues with clients' Heads of Risk and investment stakeholders.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Prepared analytical summaries for senior stakeholders on interest-rate exposure, scenario impacts, and balance-sheet sensitivities, translating quantitative output into committee-ready conclusions.</w:t>
      </w:r>
    </w:p>
    <w:p>
      <w:pPr>
        <w:keepNext/>
        <w:spacing w:before="0" w:after="0" w:line="240" w:lineRule="auto"/>
      </w:pPr>
      <w:r>
        <w:rPr>
          <w:rFonts w:ascii="Avenir Next LT Pro" w:hAnsi="Avenir Next LT Pro" w:cs="Avenir Next LT Pro"/>
          <w:b/>
          <w:i/>
          <w:color w:val="1A1A1A"/>
          <w:sz w:val="21"/>
        </w:rPr>
        <w:t>Client Service Specialist</w:t>
      </w:r>
    </w:p>
    <w:p>
      <w:pPr>
        <w:keepNext/>
        <w:spacing w:before="0" w:after="40" w:line="240" w:lineRule="auto"/>
      </w:pPr>
      <w:r>
        <w:rPr>
          <w:rFonts w:ascii="Avenir Next LT Pro" w:hAnsi="Avenir Next LT Pro" w:cs="Avenir Next LT Pro"/>
          <w:b w:val="0"/>
          <w:i/>
          <w:color w:val="1A1A1A"/>
          <w:sz w:val="21"/>
        </w:rPr>
        <w:t>Toronto, May 2022 - May 2023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Led onboarding and implementation for U.S. and Canadian pension funds, asset managers, and consulting firms on the PFaroe DB (risk &amp; ALM) and PFaroe PM (portfolio management) platforms, validating model outputs post-deployment.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Advised clients on asset, liability, and ALM configurations and translated investment-team requirements into development requests, completing migration of all assigned accounts from the legacy Calypso platform.</w:t>
      </w:r>
    </w:p>
    <w:p>
      <w:pPr>
        <w:keepNext/>
        <w:spacing w:before="100" w:after="0" w:line="240" w:lineRule="auto"/>
      </w:pPr>
      <w:r>
        <w:rPr>
          <w:rFonts w:ascii="Avenir Next LT Pro" w:hAnsi="Avenir Next LT Pro" w:cs="Avenir Next LT Pro"/>
          <w:b/>
          <w:i/>
          <w:color w:val="1A1A1A"/>
          <w:sz w:val="23"/>
        </w:rPr>
        <w:t>Ernst &amp; Young (EY)</w:t>
      </w:r>
    </w:p>
    <w:p>
      <w:pPr>
        <w:keepNext/>
        <w:spacing w:before="0" w:after="0" w:line="240" w:lineRule="auto"/>
      </w:pPr>
      <w:r>
        <w:rPr>
          <w:rFonts w:ascii="Avenir Next LT Pro" w:hAnsi="Avenir Next LT Pro" w:cs="Avenir Next LT Pro"/>
          <w:b/>
          <w:i/>
          <w:color w:val="1A1A1A"/>
          <w:sz w:val="21"/>
        </w:rPr>
        <w:t>Senior Consultant — Financial Risk Transformation</w:t>
      </w:r>
    </w:p>
    <w:p>
      <w:pPr>
        <w:keepNext/>
        <w:spacing w:before="0" w:after="40" w:line="240" w:lineRule="auto"/>
      </w:pPr>
      <w:r>
        <w:rPr>
          <w:rFonts w:ascii="Avenir Next LT Pro" w:hAnsi="Avenir Next LT Pro" w:cs="Avenir Next LT Pro"/>
          <w:b w:val="0"/>
          <w:i/>
          <w:color w:val="1A1A1A"/>
          <w:sz w:val="21"/>
        </w:rPr>
        <w:t>Toronto, Sep 2021 - Apr 2022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Delivered IFRS 17 and IFRS 9 transformation projects for Canadian and international insurance clients, aligning regulatory requirements with system implementation and financial-reporting frameworks.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Contributed to governance documentation and regulatory-readiness processes, coordinating actuarial, finance, IT, risk, and program-management functions on milestone delivery.</w:t>
      </w:r>
    </w:p>
    <w:p>
      <w:pPr>
        <w:keepNext/>
        <w:spacing w:before="100" w:after="0" w:line="240" w:lineRule="auto"/>
      </w:pPr>
      <w:r>
        <w:rPr>
          <w:rFonts w:ascii="Avenir Next LT Pro" w:hAnsi="Avenir Next LT Pro" w:cs="Avenir Next LT Pro"/>
          <w:b/>
          <w:i/>
          <w:color w:val="1A1A1A"/>
          <w:sz w:val="23"/>
        </w:rPr>
        <w:t>Ortec Finance Canada</w:t>
      </w:r>
    </w:p>
    <w:p>
      <w:pPr>
        <w:keepNext/>
        <w:spacing w:before="0" w:after="0" w:line="240" w:lineRule="auto"/>
      </w:pPr>
      <w:r>
        <w:rPr>
          <w:rFonts w:ascii="Avenir Next LT Pro" w:hAnsi="Avenir Next LT Pro" w:cs="Avenir Next LT Pro"/>
          <w:b/>
          <w:i/>
          <w:color w:val="1A1A1A"/>
          <w:sz w:val="21"/>
        </w:rPr>
        <w:t>Consultant — ALM &amp; Risk</w:t>
      </w:r>
    </w:p>
    <w:p>
      <w:pPr>
        <w:keepNext/>
        <w:spacing w:before="0" w:after="40" w:line="240" w:lineRule="auto"/>
      </w:pPr>
      <w:r>
        <w:rPr>
          <w:rFonts w:ascii="Avenir Next LT Pro" w:hAnsi="Avenir Next LT Pro" w:cs="Avenir Next LT Pro"/>
          <w:b w:val="0"/>
          <w:i/>
          <w:color w:val="1A1A1A"/>
          <w:sz w:val="21"/>
        </w:rPr>
        <w:t>Toronto, Feb 2019 - Sep 2021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Delivered ALM studies for Canadian and international pension funds and institutional investors, analyzing funding ratios, duration mismatch, and long-term balance-sheet risk exposures.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Built and interpreted stochastic economic scenario generators assessing interest-rate risk and funding volatility under base-case and stressed environments.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Conducted liability-driven investment (LDI) analysis covering duration alignment, return objectives, and liquidity, plus interest-rate, inflation, and currency hedging analysis for international clients.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Presented ALM study findings and stress-test results on-site to investment committees at Canadian pension-fund clients.</w:t>
      </w:r>
    </w:p>
    <w:p>
      <w:pPr>
        <w:keepNext/>
        <w:spacing w:before="140" w:after="60" w:line="240" w:lineRule="auto"/>
        <w:pBdr>
          <w:bottom w:val="single" w:sz="6" w:space="3" w:color="BFBFBF"/>
        </w:pBdr>
      </w:pPr>
      <w:r>
        <w:rPr>
          <w:rFonts w:ascii="Avenir Next LT Pro" w:hAnsi="Avenir Next LT Pro" w:cs="Avenir Next LT Pro"/>
          <w:b/>
          <w:i w:val="0"/>
          <w:color w:val="1A1A1A"/>
          <w:sz w:val="23"/>
          <w:caps w:val="true"/>
          <w:spacing w:val="20"/>
        </w:rPr>
        <w:t>EDUCATION &amp; CREDENTIALS</w:t>
      </w:r>
    </w:p>
    <w:p>
      <w:pPr>
        <w:tabs>
          <w:tab w:pos="259" w:val="left"/>
        </w:tabs>
        <w:spacing w:before="0" w:after="20" w:line="259" w:lineRule="auto"/>
        <w:ind w:left="259" w:hanging="259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Chartered Financial Analyst (CFA) - CFA Institute, 2024</w:t>
      </w:r>
    </w:p>
    <w:p>
      <w:pPr>
        <w:tabs>
          <w:tab w:pos="259" w:val="left"/>
        </w:tabs>
        <w:spacing w:before="0" w:after="20" w:line="259" w:lineRule="auto"/>
        <w:ind w:left="259" w:hanging="259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MSc, Financial Modelling - Western University, 2018</w:t>
      </w:r>
    </w:p>
    <w:p>
      <w:pPr>
        <w:tabs>
          <w:tab w:pos="259" w:val="left"/>
        </w:tabs>
        <w:spacing w:before="0" w:after="20" w:line="259" w:lineRule="auto"/>
        <w:ind w:left="259" w:hanging="259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MSc, Chemical Engineering (Full Scholarship) - Western University, 2016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venir Next LT Pro" w:hAnsi="Avenir Next LT Pro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