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August 28, 2026</w:t>
      </w:r>
    </w:p>
    <w:p>
      <w:r>
        <w:t>Re: Global Treasury Audit VP — State Street</w:t>
      </w:r>
    </w:p>
    <w:p>
      <w:r>
        <w:t>Independent challenge of ALM and interest-rate risk output is what I do daily. At Moody's Analytics I hold delegated sign-off authority on valuation, sensitivity, and ALM outputs for multi-asset institutional portfolios of $5-25bn per engagement, and I serve on the model governance committee that sets methodology-review, documentation, and benchmarking standards — the same review-and-conclude discipline the Global Treasury Audit, Vice President role applies to State Street's Treasury balance sheet.</w:t>
      </w:r>
    </w:p>
    <w:p>
      <w:r>
        <w:t>The technical bench this mandate lists is the one I work from. I oversee interest-rate, duration, and convexity analysis under parallel and non-parallel shocks — the EVE and NII sensitivity mechanics behind IRRBB frameworks — and validate the behavioral cash flow assumptions, prepayment logic, and macro stress overlays embedded in projection models. I led the design of a multi-asset cash flow projection engine supporting base, stress, and reverse-stress scenarios, plus time-bucketed liquidity gap analytics from T+1 to multi-year. At Ortec Finance I delivered pension ALM and LDI studies covering duration alignment, funding-ratio volatility, and interest-rate, inflation, and currency hedging, presenting findings and stress-test results directly to investment committees.</w:t>
      </w:r>
    </w:p>
    <w:p>
      <w:r>
        <w:t>State Street's Global Treasury sits on a balance sheet where deposit behavior, investment-portfolio positioning, and hedging drive both NII and EVE; auditing it credibly takes someone who has built and challenged those models rather than only read about them. I would bring technical challenge on measurement, assumptions, scenario design, and the completeness of management reporting, along with the habit of reducing all of it to one defensible conclusion. My background is second-line and vendor-side model governance rather than internal audit, so I would pair that Treasury measurement depth with your audit methodology, and would welcome the chance to apply the mentoring I have done with junior colleagues to developing audit staff on Treasury risk concepts. I hold the CFA charter and dual MSc degrees (Financial Modelling; Chemical Engineering) across ~7 years of practitioner experience, am available for interviews immediately, and can start roughly four weeks after offer acceptance. Thank you for your consideration.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