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Global Treasury Audit, Vice President candidate with ~7 years across Asset Liability Management, IRRBB measurement, and independent review and challenge of institutional balance-sheet risk. Holds delegated sign-off authority on valuation, sensitivity, and ALM outputs for portfolios of $5-25bn per engagement at Moody's Analytics, escalating outputs that lack economic defensibility. Depth spans Economic Value of Equity (EVE) and Net Interest Income (NII) sensitivity, duration and convexity, behavioral cash-flow assumptions, stress scenarios, and hedging analytics. CFA charterholder;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in the Banking Book (IRRBB)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Liability Management (ALM)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Economic Value of Equity (EVE) &amp; Net Interest Income (NII) Sensitivity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Review, Credible Challenge &amp; Escalation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Governance, Documentation &amp; Sign-Off Authority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Duration, Convexity &amp; Key-Rate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Behavioral Cash-Flow Assumptions &amp; Prepayment Logic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Design (incl. Reverse Stress)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Balance-Sheet Risk Positioning, Funding &amp; Liquidity Gap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Interest-Rate, Inflation &amp; Currency Hedging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Basel Committee IRRBB Principles &amp; OSFI B-12 Familiarity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Senior Management &amp; Investment-Committee Risk Reporting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Review, Credible Challenge &amp; Escalation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sensitivity, and ALM outputs delivered to institutional client portfolios of $5-25bn per engagement (~$50bn+ cumulative), independently reviewing methodology and assumptions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on the model governance committee,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 and acted as escalation point for client-critical analytical issues, interfacing directly with clients'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Interest Rate Risk &amp; Asset Liability Measurement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interest-rate risk and duration analysis under parallel and non-parallel rate shocks for multi-asset institutional balance sheets, aligned with IRRBB standards analogous to OSFI B-12 and Basel Committee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curve construction, spread calibration, cross-asset interactions, and stress behavior underpinning Economic Value of Equity (EVE) and Net Interest Income (NII) sensitivity measures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cross-checking sensitivity and scenario consistency at portfolio-level ALM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ALM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Funding, Stress Analytics &amp; Senior Management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delivering forward-looking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cash-flow assumptions, prepayment logic, and macro stress overlays aligned with regulatory liquidity expectations and executive contingency planning.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covering interest-rate exposure, scenario impacts, and balance-sheet sensitivities, translating quantitative output into committee-ready narratives.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PFaroe DB (risk &amp; ALM analytics) and PFaroe PM,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 investment teams on asset, liability, and ALM configurations and translated their requirements into scoped development requests for product owners.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IT, and program-management functions on standards adoption and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ALM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covering trade-offs between return objectives, duration alignment, and liquidity considerations.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study findings and allocation recommendations on-site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