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28, 2026</w:t>
      </w:r>
    </w:p>
    <w:p>
      <w:r>
        <w:t>Re: Global Treasury Audit, Vice President — State Street</w:t>
      </w:r>
    </w:p>
    <w:p>
      <w:r>
        <w:t>Dear Hiring Team,</w:t>
      </w:r>
    </w:p>
    <w:p>
      <w:r>
        <w:t>I currently hold delegated sign-off authority on valuation, sensitivity, and ALM outputs for multi-asset institutional portfolios of $5-25bn per engagement at Moody's Analytics — independent review and challenge applied to balance-sheet risk analytics closely analogous to the IRRBB/ALM machinery State Street's Global Treasury Audit function is mandated to assure. I would like to be considered for the Global Treasury Audit, Vice President role reporting to the Managing Director for Global Treasury Audit.</w:t>
      </w:r>
    </w:p>
    <w:p>
      <w:r>
        <w:t>My mandate covers interest-rate risk and duration analysis under parallel and non-parallel shocks, informed by Basel Committee IRRBB principles; review of curve construction, spread calibration, and cross-asset interactions before production release; and validation of derivatives outputs at portfolio-level ALM aggregates. I led the design of a multi-scenario cash-flow projection engine with time-bucketed liquidity gap analytics, embedding behavioral cash-flow assumptions, prepayment logic, and macro stress overlays. As a member of Moody's model governance committee, I contribute to methodology review, documentation, and model-performance assessment — the same control-design questions an auditor asks, seen from the other side of the table.</w:t>
      </w:r>
    </w:p>
    <w:p>
      <w:r>
        <w:t>Credible challenge is a discipline I already practice. On one client delivery, portfolio sensitivities passed every internal check but did not square economically under a specific rate shock; I held the release, decomposed the results by asset class, isolated a short-end curve-calibration defect, and walked the client's Head of Risk through remediation. Earlier, at Ortec Finance, I presented ALM and LDI findings directly to pension investment committees, and at EY I contributed to governance documentation and regulatory-readiness materials for insurers. Seven years of practitioner depth on the measurement side of ALM and IRRBB risk is what I would bring to the assurance seat, including experience mentoring colleagues on what drives NII and EVE outcomes. I hold the CFA charter and dual MSc degrees from Western University.</w:t>
      </w:r>
    </w:p>
    <w:p>
      <w:r>
        <w:t>I am based in Toronto, available for interviews immediately, and can start approximately four weeks after an offer. My resume is attached; references are available on request. Thank you for your time.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