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Manager-level Balance Sheet Market Risk candidate with ~7 years across ALM, IRRBB, and model governance. At Moody's Analytics, holds delegated sign-off on valuation, sensitivity, and ALM outputs for institutional portfolios ($5-25bn per engagement) and operates IRRBB analytics under parallel and non-parallel shocks aligned with OSFI B-12 and Basel. Built a multi-scenario cash-flow projection engine and Python-based reconciliation pipelines. CFA + dual MSc; OSFI E-23 / SR 11-7 aware.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ALM &amp; IRRBB (EVE, NII, KRD)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Yield curve construction &amp; shock design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Independent model review &amp; parallel runs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Behavioral assumptions (deposits, prepayments)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OSFI B-12 / E-23 &amp; Basel IRRBB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Python, SQL, MATLAB, Excel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Reconciliation &amp; exception reporting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Governance documentation &amp; model controls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IRRBB, ALM &amp; Balance-Sheet Risk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ALM outputs for multi-asset institutional portfolios ranging $5-25bn per engagement (~$50bn+ cumulative), including independent review of curve construction, spread calibration, and cross-asset interactions before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Oversee interest rate risk and duration analysis under parallel and non-parallel rate shocks, aligned with IRRBB standards analogous to OSFI B-12 and Basel Committee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 - delivering forward-looking liquidity and NII visibility across ALM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gap analytics (T+1 through multi-year) supporting funding, refinancing, and asset-allocation decisions under OSFI LAR-style requirements.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behavioral cash flow assumptions, prepayment logic, and macro stress overlays aligned with regulatory expectations - serving as a primary contact for cross-business assumption setting.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Model Governance, Validation &amp; Reconciliation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 within a formal model-governance framework: independent review and challenge, assumption validation, and documentation standards consistent with SR 11-7 and OSFI E-23 expectations.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 derivatives pricing outputs across rates, FX, and inflation; reconcile sensitivities (including KRD-style decomposition) and scenario impacts at portfolio-level ALM aggregates against first-line numbers.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Escalate outputs lacking mathematical or economic defensibility; serve as escalation point for client-critical analytical issues, interfacing with Heads of Risk and investment stakeholders.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auditable Python analytics pipelines with embedded logging, validation checks, and exception reporting - the template now reused on adjacent workflows.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analytics platform; advised on asset, liability, and ALM configurations and validated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successful migration of all assigned client accounts from a legacy Calypso environment to the PFaroe PM platform; translated investment-team requirements into Product Owner development requests.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technology-transformation projects for Canadian and international insurance clients, aligning regulatory requirements with system implementation and 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actuarial, IT, finance, and PM functions on standards adoption; contributed governance documentation and regulatory-readiness materials.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 and institutional investors - analyzed funding ratios, duration mismatch, and long-term balance-sheet risk.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interest-rate risk and funding volatility under base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cash flow, liquidity, and hedging analysis across interest-rate, inflation, and currency risk; conducted LDI analysis for pension-fund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with risk decomposition and near-optimal frontier analysis using Ortec's GLASS platform.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the ALM study for a three-plan university pension merger (jointly-sponsored plan), evaluating duration, currency, inflation, and leverage overlay strategies; presented findings to investment committees on-site.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