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Model validation, model risk, and governance professional with ~7 years of experience across institutional ALM analytics, IRRBB modelling, and formal model-governance frameworks. At Moody's Analytics I hold delegated sign-off authority on valuation, sensitivity, and ALM outputs for multi-asset institutional portfolios ($5–25bn per engagement), independently reviewing curve construction, spread calibration, cross-asset interactions, and assumption defensibility prior to production release. Built an enterprise cash-flow projection engine and stochastic scenario generators, each validated throughout the development lifecycle. CFA charter; dual MSc in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 &amp; Independent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&amp; Governance (SR 11-7 / OSFI E-23 aware)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&amp; IRRBB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Assumption Validation &amp;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Sensitivity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 · NumPy ·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Projection Modelling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 — Asset Management &amp; Buy-Side Solutions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 &amp; Independent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($5–25bn per engagement; ~$50bn cumulative) —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framework: assess model risk by validating assumption defensibility, escalating outputs lacking mathematical or economic support, and maintaining documentation standards aligned with SR 11-7 and OSFI E-23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as escalation point for client-critical analytical issues, interfacing directly with Heads of Risk and investment stakeholders on remediation plans.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Development &amp; Validation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embedded behavioral assumptions, prepayment logic, and macro stress overlays; validated outputs throughout the build.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 — confirmed sensitivity consistency and scenario impact integrity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risk and duration analysis under parallel and non-parallel rate shocks,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manual spreadsheet valuation workflows into auditable Python analytics pipelines; ran both environments in parallel for two production cycles to confirm output reconciliation before cutover — governance audit closed satisfactorily.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Tooling &amp; Efficiency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first-pass code review, validation scaffolding, and anomaly detection — reducing development cycle time by an estimated 30–40% on comparable modules while preserving human sign-off on governance-critical steps.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— Investment Analytics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platform implementation for U.S. and Canadian pension funds, asset managers, and consulting firms migrating to the PFaroe analytics platform — validated model outputs post-deployment and translated client investment-team requirements into structured Product Owner requests.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Successfully migrated all assigned client accounts from a legacy Calypso environment to the PFaroe PM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contributed to governance documentation, regulatory-readiness processes, and cross-functional alignment across actuarial, finance, IT, and risk teams.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 for Canadian and international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using VaR and CVaR via Ortec's GLASS platform — with risk decomposition, contribution-to-risk attribution, and near-optimal frontier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analyzing funding ratios, duration mismatch, and long-term balance-sheet risk; conducted cash flow, liquidity, and hedging analysis across interest-rate, inflation, and currency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the ALM study for a three-plan university pension merger (new jointly-sponsored plan) — on a team of three developing and validating the model capturing all Funding Policy dynamics, evaluating duration, currency, inflation, and leverage overlay strategies.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findings and strategic asset allocation recommendations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