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CFA charterholder and quantitative finance professional with ~7 years in financial modeling, valuation, and independent model review — aligned to an Investment Banking Expert engagement evaluating AI-generated financial analyses and valuation models. At Moody's Analytics, holds delegated sign-off authority, independently reviewing and validating valuation, derivatives-pricing, and scenario outputs for multi-asset institutional portfolios ($5–25bn per engagement) for accuracy and economic defensibility. Grounded in DCF, corporate finance, accounting (IFRS), and capital markets, with advanced Excel and Python.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Financial Modeling &amp; Valuation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Valuation Analysis – DCF &amp; Multiples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&amp; Fixed-Income Valuation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Review &amp;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Stress, Scenario &amp; Sensitivity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Corporate Finance &amp; Capital Markets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Accounting &amp; Financial Reporting (IFRS)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Advanced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Documentation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Moody’s Analytics – Asset Management &amp; Buy-Side Solutions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–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Independently review and validate valuation, derivatives-pricing, sensitivity, and scenario outputs for multi-asset institutional portfolios ($5–25bn per engagement; $50bn+ cumulative), holding delegated sign-off authority — assessing model accuracy, assumptions, and economic defensibility before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and challenge financial models and multi-scenario engines (base, stress, reverse-stress), documenting assumptions, limitations, and testing results to formal model-governance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pipelines and built agentic-AI workflows (Claude Code, Cursor) that cut model development and validation cycle time an estimated 30–40%.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– ALM &amp; Risk Analytics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model outputs post-deployment and led client onboarding for U.S. and Canadian pension funds and asset managers migrating to the PFaroe analytics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financial-reporting transformation for insurance clients, aligning accounting standards with model and system implementation.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validated stochastic Monte Carlo economic scenario generators and ALM/LDI studies for pension funds and institutional investors.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VaR/CVaR portfolio optimization, risk decomposition, and interest-rate/inflation/currency hedging analysis; presented findings to investment committees and senior stakeholders.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