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Investment analytics professional with ~7 years across multi-asset portfolio analytics, ALM, and AI-enabled platform delivery for pension and institutional investors. At Moody's Analytics holds delegated sign-off on valuation, risk, and ALM outputs for portfolios of $5–25bn per engagement, and led design of a cross-asset cash flow, liquidity, and scenario engine. Ex-Ortec Finance ALM consultant to Canadian pensions (VaR/CVaR optimization, portfolio construction, LDI). Familiar with Total Fund analytics needs across leverage, liquidity, and cross-asset exposures. CFA +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ALM, liquidity gap &amp; cash flow projection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analytics: VaR/CVaR, 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Cross-asset exposure aggregation &amp; sensitivity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analytics: asset-only &amp; asset-liability optimization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validation &amp; escalation frameworks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AI-assisted development &amp; agentic workflows (Claude Code, Cursor)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SciPy), SQL &amp; production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partnership with investment committees, Heads of Risk &amp; CIO offices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Assistant Director – Modelling Services (Investment &amp; ALM Analytics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Analytics &amp; Portfolio Insight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multi-asset institutional client portfolios ranging $5–25bn per engagement (~$50bn+ cumulative book), spanning pensions, asset managers, and insurers.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and validate aggregation logic converting security-level exposures into portfolio-level risk metrics — covering duration, cross-asset exposures, and scenario impacts — feeding downstream ALM, Total Fund reporting, and investment-committee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ensure consistency of sensitivities and stress impacts at portfolio-level ALM aggregates for client investment committees.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Platform Development &amp; Scenario Engineering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delivering forward-looking liquidity and funding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enabling funding optimization, refinancing risk assessment, and asset-allocation decisions; embedded behavioral cash flow assumptions, prepayment logic, and macro stress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— automated code generation, validation scaffolding, and anomaly detection — reducing development cycle time an estimated 30–40%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 &amp; Stakeholder Partnership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Moody's formal model governance framework — independently review curve construction, spread calibration, cross-asset interactions, and stress behaviour prior to production release; establish documentation and validation standards consistent with industry model-risk-management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as escalation point for client-critical analytical issues; interface directly with Heads of Risk and CIO-office stakeholders, translating quantitative outputs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 client investment-team requirements into structured Product Owner development requests; coordinate across product, engineering, and QA functions in cross-functional squad delivery and validate outputs post-deployment.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PFaroe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multi-asset analytics platform; translated investment-team requirements into Product Owner development requests.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Successfully migrated all assigned client accounts from the legacy Calypso platform to PFaroe PM, validating asset, liability, and ALM configurations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aligned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 management on milestone delivery, governance documentation,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analyzed funding ratios, duration mismatch, and long-term balance-sheet risk under stochastic economic scenarios.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construction and optimization based on VaR and CVaR using Ortec's GLASS platform; conducted risk decomposition, contribution-to-risk,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— trade-offs between return objectives, duration alignment, leverage overlays, and liquidity for pension-fund clients; advised on Strategic and Tactical Asset Allocation via stress testing and sensitivity analysis across cross-asset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interest-rate, inflation, and currency risk; performed cross-asset hedging analysis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(new jointly-sponsored plan, analogous to a Total Fund build) — on a team of three, developed and validated the model capturing all Funding Policy dynamics and evaluated duration, inflation, currency,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