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10, 2026</w:t>
      </w:r>
    </w:p>
    <w:p>
      <w:r>
        <w:t>Re: Director, Total Fund Management Investment Analytics — Ontario Teachers' Pension Plan</w:t>
      </w:r>
    </w:p>
    <w:p>
      <w:r>
        <w:t>Dear Hiring Team,</w:t>
      </w:r>
    </w:p>
    <w:p>
      <w:r>
        <w:t>I build and sign off on the multi-asset analytics that institutional investment teams rely on to see their fund clearly. At Moody's Analytics I hold delegated sign-off on valuation, sensitivity, and ALM outputs for portfolios of $5–25bn per engagement, and I led the design of an enterprise cross-asset cash flow, liquidity, and scenario engine that gives pension and asset-manager clients forward-looking visibility on funding, cross-asset exposures, and balance-sheet risk. I am applying for the Director, Total Fund Management Investment Analytics role at Ontario Teachers'.</w:t>
      </w:r>
    </w:p>
    <w:p>
      <w:r>
        <w:t>The analytical mandate here maps directly onto what I have been building. I led the design and delivery of a multi-scenario cash flow projection engine with configurable liquidity gap analytics from T+1 through multi-year horizons; I review and validate derivatives sensitivities across rates, FX, and inflation at portfolio-level aggregates; and I have deployed agentic AI development workflows — Claude Code and Cursor — that measurably accelerated model development and validation cycle times in my team by an estimated 30–40%. I translate client investment-team requirements into structured product and engineering deliverables within a cross-functional squad model, and I serve as the escalation point for Heads of Risk and CIO-office stakeholders on client-critical analytics. Before Moody's, I spent two and a half years at Ortec Finance delivering ALM studies, VaR/CVaR portfolio optimization, LDI, and stochastic scenario work for Canadian pension funds — including the ALM study for the University Pension Plan merger — so the Total Fund vocabulary of funded status, duration mismatch, leverage overlays, and liquidity management is native to me.</w:t>
      </w:r>
    </w:p>
    <w:p>
      <w:r>
        <w:t>Ontario Teachers' is where Canadian Total Fund management is defined, and the combination of advanced analytics, AI platform capability, and model governance discipline this role requires is the combination I have been developing across four years at Moody's and two and a half at Ortec. I hold the CFA charter and dual MSc degrees from Western University, am Toronto-based, and can interview immediately.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