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38"/>
        </w:rPr>
        <w:t>Saber Ayatollahi</w:t>
      </w:r>
      <w:r>
        <w:rPr>
          <w:rFonts w:ascii="Avenir Next LT Pro" w:hAnsi="Avenir Next LT Pro" w:cs="Avenir Next LT Pro"/>
          <w:b w:val="0"/>
          <w:i w:val="0"/>
          <w:color w:val="1A1A1A"/>
          <w:sz w:val="22"/>
        </w:rPr>
        <w:t>, CFA, MSc</w:t>
      </w:r>
    </w:p>
    <w:p>
      <w:pPr>
        <w:spacing w:before="0" w:after="80" w:line="240" w:lineRule="auto"/>
      </w:pPr>
      <w:r>
        <w:rPr>
          <w:rFonts w:ascii="Avenir Next LT Pro" w:hAnsi="Avenir Next LT Pro" w:cs="Avenir Next LT Pro"/>
          <w:b w:val="0"/>
          <w:i w:val="0"/>
          <w:color w:val="1A1A1A"/>
          <w:sz w:val="19"/>
        </w:rPr>
        <w:t>Toronto, Canada  •  +1 (416) 856-1276  •  saber.ayatollahi@gmail.com  •  www.linkedin.com/in/sayatollahi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SUMMARY</w:t>
      </w:r>
    </w:p>
    <w:p>
      <w:pPr>
        <w:spacing w:before="0" w:after="40" w:line="259" w:lineRule="auto"/>
        <w:jc w:val="both"/>
      </w:pPr>
      <w:r>
        <w:rPr>
          <w:rFonts w:ascii="Avenir Next LT Pro Light" w:hAnsi="Avenir Next LT Pro Light" w:cs="Avenir Next LT Pro Light"/>
          <w:b w:val="0"/>
          <w:i w:val="0"/>
          <w:color w:val="1A1A1A"/>
          <w:sz w:val="20"/>
        </w:rPr>
        <w:t>Senior Manager candidate with ~7 years across pension ALM, investment risk, and multi-asset portfolio analytics. Delivered ALM studies, LDI design, and asset allocation advice to Canadian and international pension plans at Ortec Finance — including investment manager due diligence and portfolio performance analysis; now holds delegated sign-off on valuation, sensitivity, and ALM outputs for multi-asset institutional portfolios at Moody's Analytics. Hands-on with VaR/CVaR portfolio optimization, risk decomposition and attribution, Python, and complex Excel. CFA charterholder, dual MSc.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CORE SKILLS</w:t>
      </w:r>
    </w:p>
    <w:p>
      <w:pPr>
        <w:spacing w:before="0" w:after="40" w:line="269" w:lineRule="auto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Pension ALM &amp; LDI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Asset Allocation (SAA / TAA)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Portfolio Construction &amp; Optimization (VaR / CVaR / Surplus)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Investment Risk Measurement (Duration / Stress / Scenario Analysis)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Liability Hedging &amp; Derivative Overlays (Rates / FX / Inflation)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Risk Decomposition &amp; Attribution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Python, SQL &amp; Advanced Excel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EXPERIENCE</w:t>
      </w:r>
    </w:p>
    <w:p>
      <w:pPr>
        <w:keepNext/>
        <w:spacing w:before="10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3"/>
        </w:rPr>
        <w:t>Moody's Analytics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Asst. Director - Modelling Services</w:t>
      </w:r>
      <w:r>
        <w:rPr>
          <w:rFonts w:ascii="Avenir Next LT Pro" w:hAnsi="Avenir Next LT Pro" w:cs="Avenir Next LT Pro"/>
          <w:b w:val="0"/>
          <w:i/>
          <w:color w:val="1A1A1A"/>
          <w:sz w:val="21"/>
        </w:rPr>
        <w:t xml:space="preserve">  |  Toronto, May 2023 - Present</w:t>
      </w:r>
    </w:p>
    <w:p>
      <w:pPr>
        <w:keepNext/>
        <w:spacing w:before="6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21"/>
        </w:rPr>
        <w:t>Portfolio Analytics &amp; Investment Risk Oversight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Hold delegated sign-off authority on valuation, sensitivity, and ALM outputs delivered to multi-asset institutional pension and asset-manager clients ranging $5–25bn per engagement; cumulatively cover ~$50bn in institutional assets across the book of work.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Review curve construction, spread calibration, cross-asset interactions, and aggregation logic converting security-level exposures into portfolio-level risk metrics — prior to production release.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Oversee duration and interest-rate risk measurement under parallel and non-parallel rate shocks, with outputs used to inform liability-aware positioning and funded-status sensitivity for pension mandates.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Validate derivatives valuation outputs across rates, FX, and inflation; verify sensitivity consistency at portfolio-level ALM aggregates used in hedging and overlay decisions.</w:t>
      </w:r>
    </w:p>
    <w:p>
      <w:pPr>
        <w:keepNext/>
        <w:spacing w:before="6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21"/>
        </w:rPr>
        <w:t>Cash-Flow Projection, Stress Testing &amp; Reporting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Led design and implementation of an enterprise multi-asset cash-flow projection engine supporting base, stress, and reverse-stress scenarios — providing forward-looking liquidity and funded-status visibility across ALM horizons.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Architected configurable time-bucketed liquidity gap analytics (T+1 through multi-year), enabling funding optimization, refinancing risk assessment, and asset-allocation decisions.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Prepared investment memos and analytical summaries for senior client stakeholders — including Heads of Risk and CIO-office contacts — covering interest-rate exposure, scenario impacts, and balance-sheet sensitivities.</w:t>
      </w:r>
    </w:p>
    <w:p>
      <w:pPr>
        <w:keepNext/>
        <w:spacing w:before="6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21"/>
        </w:rPr>
        <w:t>Tooling, Automation &amp; Process Improvement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Re-engineered manual spreadsheet workflows into scalable, auditable Python analytics pipelines with embedded logging and validation controls.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Built agentic AI development workflows (Claude Code, Cursor IDE) for automated code generation, validation scaffolding, and anomaly detection — reducing analytical cycle time an estimated 30–40% on comparable modules.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Client Service Specialist</w:t>
      </w:r>
      <w:r>
        <w:rPr>
          <w:rFonts w:ascii="Avenir Next LT Pro" w:hAnsi="Avenir Next LT Pro" w:cs="Avenir Next LT Pro"/>
          <w:b w:val="0"/>
          <w:i/>
          <w:color w:val="1A1A1A"/>
          <w:sz w:val="21"/>
        </w:rPr>
        <w:t xml:space="preserve">  |  Toronto, May 2022 - May 2023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Led onboarding and implementation for U.S. and Canadian pension funds, asset managers, and consulting firms migrating to the PFaroe analytics platform; advised on asset, liability, and ALM configurations and validated model outputs post-deployment.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Acted as technical liaison between client investment teams and product owners, translating investment requirements into development requests; contributed to a successful Calypso-to-PFaroe migration across all assigned accounts.</w:t>
      </w:r>
    </w:p>
    <w:p>
      <w:pPr>
        <w:keepNext/>
        <w:spacing w:before="10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3"/>
        </w:rPr>
        <w:t>Ernst &amp; Young (EY)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Senior Consultant - Financial Risk &amp; IFRS Transformation</w:t>
      </w:r>
      <w:r>
        <w:rPr>
          <w:rFonts w:ascii="Avenir Next LT Pro" w:hAnsi="Avenir Next LT Pro" w:cs="Avenir Next LT Pro"/>
          <w:b w:val="0"/>
          <w:i/>
          <w:color w:val="1A1A1A"/>
          <w:sz w:val="21"/>
        </w:rPr>
        <w:t xml:space="preserve">  |  Toronto, Sep 2021 - Apr 2022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Delivered IFRS 17 and IFRS 9 transformation projects for Canadian and international insurance clients, aligning actuarial liability mechanics with investment-accounting and reporting frameworks.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Coordinated across actuarial, finance, IT, risk, and PM functions on milestone delivery, governance documentation, and regulatory-readiness materials.</w:t>
      </w:r>
    </w:p>
    <w:p>
      <w:pPr>
        <w:keepNext/>
        <w:spacing w:before="10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3"/>
        </w:rPr>
        <w:t>Ortec Finance Canada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Consultant - Asset-Liability Management &amp; Risk</w:t>
      </w:r>
      <w:r>
        <w:rPr>
          <w:rFonts w:ascii="Avenir Next LT Pro" w:hAnsi="Avenir Next LT Pro" w:cs="Avenir Next LT Pro"/>
          <w:b w:val="0"/>
          <w:i/>
          <w:color w:val="1A1A1A"/>
          <w:sz w:val="21"/>
        </w:rPr>
        <w:t xml:space="preserve">  |  Toronto, Feb 2019 - Sep 2021</w:t>
      </w:r>
    </w:p>
    <w:p>
      <w:pPr>
        <w:keepNext/>
        <w:spacing w:before="6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21"/>
        </w:rPr>
        <w:t>Pension ALM, LDI &amp; Asset Allocation Advisory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Delivered ALM studies for Canadian and international pension funds and institutional investors — analyzing funded ratios, duration mismatch, and long-term balance-sheet risk; prepared client-facing investment memos translating quantitative findings into actionable recommendations for investment committees.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Advised plan sponsors on Strategic Asset Allocation (SAA) and Tactical Asset Allocation (TAA) trade-offs via stress testing, sensitivity analysis, and stochastic scenario modelling, incorporating investment manager due diligence considerations on mandate sizing and structure.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Conducted Liability-Driven Investment (LDI) analysis — evaluating trade-offs between return objectives, duration alignment, hedge-ratio choices, and liquidity considerations for pension-fund clients.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Performed cash-flow, liquidity, and hedging analysis covering interest-rate, inflation, and currency risk, including derivative overlay strategies (leverage, FX hedging).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Led onboarding and the ALM study for the University Pension Plan (UPP) merger — on a team of three, building and validating the model capturing Funding Policy dynamics, and studying duration, currency, inflation, and leverage overlay strategies.</w:t>
      </w:r>
    </w:p>
    <w:p>
      <w:pPr>
        <w:keepNext/>
        <w:spacing w:before="6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21"/>
        </w:rPr>
        <w:t>Portfolio Construction, Risk &amp; Performance Analytics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Performed asset-only and asset-liability (surplus) portfolio construction and optimization based on VaR and CVaR using Ortec's GLASS platform; explored near-optimal portfolios around the efficient frontier to test the robustness of allocation recommendations.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Performed risk decomposition and risk attribution (contribution-to-risk, risk budgeting) across multi-asset portfolios, linking portfolio performance drivers to allocation and factor exposures.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Built and interpreted stochastic economic scenario generators to assess investment performance, interest-rate risk, and funding volatility under base-case and stressed environments.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Presented findings at on-site client meetings and to pension-fund investment committees, translating quantitative outputs into actionable allocation and hedging recommendations.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EDUCATION &amp; CREDENTIALS</w:t>
      </w:r>
    </w:p>
    <w:p>
      <w:pPr>
        <w:tabs>
          <w:tab w:pos="259" w:val="left"/>
        </w:tabs>
        <w:spacing w:before="0" w:after="20" w:line="259" w:lineRule="auto"/>
        <w:ind w:left="259" w:hanging="259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Chartered Financial Analyst (CFA) - CFA Institute, 2024</w:t>
      </w:r>
    </w:p>
    <w:p>
      <w:pPr>
        <w:tabs>
          <w:tab w:pos="259" w:val="left"/>
        </w:tabs>
        <w:spacing w:before="0" w:after="20" w:line="259" w:lineRule="auto"/>
        <w:ind w:left="259" w:hanging="259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MSc, Financial Modelling - Western University, 2018</w:t>
      </w:r>
    </w:p>
    <w:p>
      <w:pPr>
        <w:tabs>
          <w:tab w:pos="259" w:val="left"/>
        </w:tabs>
        <w:spacing w:before="0" w:after="20" w:line="259" w:lineRule="auto"/>
        <w:ind w:left="259" w:hanging="259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MSc, Chemical Engineering (Full Scholarship) - Western University, 2016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venir Next LT Pro" w:hAnsi="Avenir Next LT Pr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