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10, 2026</w:t>
      </w:r>
    </w:p>
    <w:p>
      <w:r>
        <w:t>Re: Senior Manager, Pension Investments — RBC Global Asset Management</w:t>
      </w:r>
    </w:p>
    <w:p>
      <w:r>
        <w:t>Dear Hiring Team,</w:t>
      </w:r>
    </w:p>
    <w:p>
      <w:r>
        <w:t>I have spent the bulk of my career inside the pension-investment problem set RBC Global Asset Management's Pension Investments team owns day-to-day. At Ortec Finance I delivered ALM studies, LDI design, and SAA/TAA advice to Canadian and international pension plans — including leading the onboarding ALM study for the University Pension Plan three-plan JSPP merger, evaluating duration, currency, inflation, and leverage overlay strategies. At Moody's Analytics I now hold delegated sign-off on valuation, sensitivity, and ALM outputs for multi-asset institutional portfolios in the $5–25bn range per engagement. I would like to be considered for the Senior Manager, Pension Investments role.</w:t>
      </w:r>
    </w:p>
    <w:p>
      <w:r>
        <w:t>The RBC mandate maps directly onto how I already work: supporting asset allocation aligned with pension liabilities, monitoring portfolio risk and performance, and supporting liability hedging and derivative overlays. At Ortec I performed asset-only and asset-liability (surplus) portfolio optimization on VaR and CVaR, ran risk decomposition and attribution across multi-asset portfolios, and analyzed interest-rate, inflation, and FX hedging strategies for institutional clients. At Moody's I led the design of a multi-scenario cash-flow projection engine and oversee duration and stress analytics that feed funded-status and rebalancing decisions. On ESG, my background is in integrating sustainability-related scenario overlays into ALM and asset-allocation frameworks; I do not have standalone ESG-manager-research credentials, but the analytical foundation for responsible-investing measurement is consistent with the work I have done across institutional mandates. My toolkit — advanced Excel, Python analytics pipelines, and SQL — aligns with the role's stated environment.</w:t>
      </w:r>
    </w:p>
    <w:p>
      <w:r>
        <w:t>What draws me specifically to RBC GAM is the chance to work both sides of the plan: DB funded-status stability alongside DC participant capital accumulation, with the fiduciary lens that makes the analytical work matter. The CFA charter, dual MSc, and ~7 years of practitioner pension-ALM and investment-risk experience are the combination this role calls for.</w:t>
      </w:r>
    </w:p>
    <w:p>
      <w:r>
        <w:t>I am based in Toronto, available for interviews immediately, and can start approximately four weeks after offer acceptance. References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