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 / ALM Risk candidate with ~7 years across IRRBB analytics, balance-sheet risk oversight, and model governance. At Moody's Analytics, holds delegated sign-off authority on ALM and sensitivity outputs for multi-asset institutional portfolios ($5–25bn per engagement). Hands-on with interest-rate risk analytics — including Economic Value of Equity and Net Interest Income sensitivities — under parallel and non-parallel rate shocks, cash-flow projection engines, and senior-stakeholder risk reporting. CFA charterholder; dual MSc (Financial Modelling, Engineering); Python and SQL fluent.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IRRBB / Interest-Rate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 Sheet &amp; ALM Oversight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Economic Value of Equity (EVE) &amp; NII Sensitivity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OSFI B-12 / Basel IRRBB (applied knowledge)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Appetite &amp; Limits Frameworks (applied knowledge)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&amp; Rate Shock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Delegated Sign-Off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SQL, Advanced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 Stakeholder &amp; Risk Committee Reporting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–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IRRBB, ALM &amp; Balance-Sheet Risk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for multi-asset institutional portfolios ($5–25bn per engagement; ~$50bn+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risk and duration analysis under parallel and non-parallel rate shocks, aligned with IRRBB standards analogous to OSFI B-12 and Basel Committee frameworks; review Economic Value of Equity (EVE) and Net Interest Income (NII) sensitivity outputs at portfolio-level ALM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ensuring consistency of sensitivities and scenario impacts at portfolio-level ALM aggregates feeding downstream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metrics; escalate outputs lacking mathematical or economic defensibility to product owners and clients' Heads of Risk.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Cash Flow, Liquidity &amp; Stress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scenarios, delivering forward-looking balance-sheet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cash-flow assumptions, prepayment logic, and macro stress overlays aligned with regulatory liquidity expectations.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Reporting, Tooling &amp; Stakeholder Engagement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stakeholders covering interest-rate exposure, scenario impacts, and balance-sheet sensitivities, translating quantitative outputs into 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Mentor junior colleagues on ALM concepts, curve mechanics, and sensitivity interpretation; serve as escalation point for client-critical analytical issues.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– Buy-Side Solutions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advised on asset, liability, and ALM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owners, scoping requirements into development requests; supported full migration of all assigned accounts from a legacy Calypso environment.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on IFRS 17 / IFRS 9 adoption;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(LDI), cash-flow, liquidity, and hedging analysis across interest-rate, inflation, and currency risk; advised clients on Strategic and Tactical Asset Allocation trade-offs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the University Pension Plan (UPP) merger of three single-employer plans into a new jointly-sponsored plan — on a team of three developing and validating the model capturing funding-policy dynamics,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study findings to investment committees at Canadian pension-fund clients, translating technical analysis into governance-level recommendations.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