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Associate Director-level ALM and balance-sheet risk specialist with ~7 years across IRRBB analytics, multi-scenario cash flow projection, and hedging analysis for institutional portfolios. At Moody's Analytics, holds delegated sign-off authority on valuation, sensitivity, and ALM outputs for portfolios of $5–25bn per engagement, including review under parallel and non-parallel rate shocks aligned with banking book IRRBB standards. Prior pension ALM, LDI, and interest-rate / inflation / currency hedging delivery at Ortec Finance. CFA charterholder; dual MSc; advanced Python and SQL.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ALM &amp; IRRBB — EVE / NII, parallel &amp; non-parallel shocks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Structural interest rate risk &amp; duration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Balance sheet risk modelling &amp; banking book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interest rate derivatives valuation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construction, calibration &amp; key-rate duration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Multi-scenario cash flow projection &amp; liquidity gap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Hedging strategy analysis (interest rate, inflation, FX)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generation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SciPy), SQL,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Senior-stakeholder &amp; ALCO-ready analytical reporting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—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Structural interest rate risk &amp; ALM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for multi-asset institutional portfolios of $5–25bn per engagement (~$50bn+ cumulative),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 across the banking book, aligned with IRRBB standards analogous to OSFI B-12 and Basel Committee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derivatives pricing outputs across rates, FX, and inflation, verifying consistency of sensitivities and scenario impacts at portfolio-level ALM aggregates that inform hedging decisions.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 flow projection &amp; balance-sheet modelling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delivering forward-looking liquidity and balance sheet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behavioral cash flow assumptions, prepayment logic, and macro stress overlays aligned with regulatory liquidity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tooling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framework; escalate outputs lacking mathematical or economic defensibility; serve as primary escalation point for client-critical analytical issues, interfacing directly with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covering interest-rate exposure, scenario impacts, and balance-sheet sensitivities, translating quantitative outputs into committee-ready narratives.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— PFaroe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scoping requirements into structured development requests; contributed to successful migration of all assigned client accounts from legacy Calypso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—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program-management functions on adoption of IFRS 17 and IFRS 9 standards;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—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analysis, evaluating trade-offs between return objectives, duration alignment, and liquidity considerations for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clients on Strategic and Tactical Asset Allocation trade-offs via stress testing and sensitivity analysis; presented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ALM study for a three-plan university pension merger (UPP / JSPP), developing and validating the model capturing Funding Policy dynamics and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