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10, 2026</w:t>
      </w:r>
    </w:p>
    <w:p>
      <w:r>
        <w:t>Re: Associate Director, ALM Strategy — Scotiabank</w:t>
      </w:r>
    </w:p>
    <w:p>
      <w:r>
        <w:t>Dear Hiring Team,</w:t>
      </w:r>
    </w:p>
    <w:p>
      <w:r>
        <w:t>I currently hold delegated sign-off authority on valuation, sensitivity, and ALM outputs for multi-asset institutional portfolios at Moody's Analytics, with day-to-day responsibility for reviewing interest-rate risk and duration analysis under parallel and non-parallel rate shocks. That is the discipline Scotiabank's Balance Sheet Management team within Group Treasury is built around, and I would like to be considered for the Associate Director, ALM Strategy role.</w:t>
      </w:r>
    </w:p>
    <w:p>
      <w:r>
        <w:t>Over the past four years at Moody's I have led the design of a multi-scenario cash flow projection engine spanning base, stress, and reverse-stress views; architected time-bucketed liquidity gap analytics from T+1 through multi-year horizons; and reviewed derivatives pricing outputs across rates, FX, and inflation at portfolio-level ALM aggregates that inform hedging decisions. Before Moody's I delivered IFRS 17 and IFRS 9 transformation at EY, and stochastic ALM, LDI, and interest-rate / inflation / currency hedging analysis for pension funds at Ortec Finance, including the three-plan UPP merger study. I hold the CFA charter and dual MSc degrees in Financial Modelling and Chemical Engineering from Western University, and work daily in Python, SQL, and Excel.</w:t>
      </w:r>
    </w:p>
    <w:p>
      <w:r>
        <w:t>What draws me specifically to this seat is the scope of the BSM mandate: developing the structural interest rate risk framework, maintaining the balance-sheet reporting models that drive hedging decisions, and synthesizing the resulting view for senior management and ALCO. My practitioner background — sign-off on portfolios of $5–25bn per engagement, behavioral cash flow assumptions and prepayment logic embedded in production tooling, and a track record of translating complex quantitative outputs into committee-ready narratives — maps directly onto that brief.</w:t>
      </w:r>
    </w:p>
    <w:p>
      <w:r>
        <w:t>I am based in Toronto, available for interviews immediately, and can commit to a start approximately four weeks after offer acceptance. References available upon request. Thank you for your time.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