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~7 years across pension asset-liability management, LDI analysis, and funded-status analytics, spanning advisory work for Canadian defined benefit plans at Ortec Finance and delegated sign-off on multi-asset institutional portfolios ($5–25bn per engagement) at Moody's Analytics. Hands-on with stochastic scenario generation, actuarial liability modelling, stress testing, risk management, and analytics-platform implementation. CFA charterholder, dual MSc.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Pension ALM &amp; LDI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Funded Status &amp; Stress Testing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Defined Benefit Plan Governance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Analytics &amp; Risk Reporting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Actuarial Liability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Cash Flow Projection &amp; Liquidity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Stakeholder Coordination &amp; Committee Reporting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Analytics Platform Implementation &amp; Data Governance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Project Management &amp; Cross-Functional Coordination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Python, SQL &amp; Excel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PROFESSIONAL 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–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Pension ALM &amp; Funded-Status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ALM outputs delivered to multi-asset institutional client portfolios sized $5–25bn per engagement, cumulatively ~$50bn across the book.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 duration, key-rate, and parallel/non-parallel rate-shock analytics on multi-asset portfolios, translating outputs into funded-status sensitivity narratives for client investment teams.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outputs (rates, FX, inflation) and review aggregation logic from security-level exposures to portfolio-level risk metrics feeding downstream ALM and risk management reporting.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Stress Testing &amp; Cash-Flow Projection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cash-flow projection engine supporting base, stress, and reverse-stress scenarios across ALM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multi-year), supporting cash management, refinancing, and asset-allocation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behavioral cash-flow assumptions, prepayment logic, and macro stress overlays consistent with institutional liquidity expectations and contingency planning.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Governance, Reporting &amp; Analytics-Platform Delivery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 within a formal model-governance framework: independent review of curve construction, spread calibration, and economic defensibility prior to production release; serve as escalation point for client-critical issues with Heads of Risk and investment committees.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and governance committees on interest-rate exposure, scenario impacts, and balance-sheet sensitivities.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auditable Python analytics pipelines with embedded logging and validation controls, supporting data-governance standards.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–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analytics platform; managed project timelines, dependencies, and cross-functional stakeholders across client and product teams.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technical liaison between client investment teams and product owners, scoped data and configuration requirements, validated model outputs post-deployment, and contributed to data-governance standards.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Successfully migrated all assigned client accounts from a legacy Calypso environment to the PFaroe PM platform on plan.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–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coordinating actuarial, finance, IT, risk, and project-management workstreams on milestone delivery.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governance documentation and regulatory-readiness processes supporting executive and committee sign-off; developed go-to-market advisory collateral.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–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defined benefit pension funds: analyzed funded status, duration mismatch, and long-term balance-sheet risk management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ALM study for the University Pension Plan (UPP) — a three-plan jointly-sponsored merger — on a team of three, modelling Funding Policy dynamics and evaluating duration, currency, inflation, and leverage overlay strategies.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LDI analysis covering trade-offs across return objectives, duration alignment, and liquidity for pension-fund clients; advised on Strategic and Tactical Asset Allocation through stress testing and sensitivity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generators; performed asset-only and asset-liability (surplus) portfolio optimization on VaR and CVaR using Ortec's GLASS platform, with risk decomposition and near-frontier robustness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Modelled pension actuarial liabilities alongside all major investment-product types; performed cash flow, liquidity, and hedging analysis across interest-rate, inflation, and currency risk.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ALM study findings at on-site client meetings, including investment-committee discussions at Canadian pension-fund clients.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—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—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—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